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4"/>
        <w:gridCol w:w="1984"/>
        <w:gridCol w:w="5639"/>
      </w:tblGrid>
      <w:tr w:rsidR="007B6A72" w:rsidRPr="00522415" w:rsidTr="004956E5">
        <w:trPr>
          <w:cantSplit/>
        </w:trPr>
        <w:tc>
          <w:tcPr>
            <w:tcW w:w="1774" w:type="dxa"/>
          </w:tcPr>
          <w:p w:rsidR="007B6A72" w:rsidRPr="00522415" w:rsidRDefault="004956E5" w:rsidP="007B6A72">
            <w:pPr>
              <w:spacing w:before="60" w:after="6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MSQ</w:t>
            </w:r>
            <w:r w:rsidR="007B6A72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 Unit 23</w:t>
            </w:r>
          </w:p>
        </w:tc>
        <w:tc>
          <w:tcPr>
            <w:tcW w:w="7623" w:type="dxa"/>
            <w:gridSpan w:val="2"/>
          </w:tcPr>
          <w:p w:rsidR="007B6A72" w:rsidRPr="009C5B15" w:rsidRDefault="007B6A72" w:rsidP="007B6A72">
            <w:pPr>
              <w:spacing w:before="60" w:after="60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QCF Ref:  </w:t>
            </w:r>
            <w:hyperlink r:id="rId7" w:history="1">
              <w:r w:rsidRPr="007B6A72">
                <w:rPr>
                  <w:rFonts w:asciiTheme="minorHAnsi" w:hAnsiTheme="minorHAnsi" w:cs="Times New Roman"/>
                  <w:b/>
                  <w:sz w:val="22"/>
                  <w:szCs w:val="22"/>
                </w:rPr>
                <w:t>R/503/2146</w:t>
              </w:r>
            </w:hyperlink>
          </w:p>
        </w:tc>
      </w:tr>
      <w:tr w:rsidR="003F3C02" w:rsidRPr="00522415" w:rsidTr="004956E5">
        <w:trPr>
          <w:cantSplit/>
        </w:trPr>
        <w:tc>
          <w:tcPr>
            <w:tcW w:w="1774" w:type="dxa"/>
          </w:tcPr>
          <w:p w:rsidR="003F3C02" w:rsidRPr="00522415" w:rsidRDefault="003F3C02" w:rsidP="007B6A72">
            <w:pPr>
              <w:spacing w:before="60" w:after="6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522415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Title: </w:t>
            </w:r>
          </w:p>
        </w:tc>
        <w:tc>
          <w:tcPr>
            <w:tcW w:w="7623" w:type="dxa"/>
            <w:gridSpan w:val="2"/>
          </w:tcPr>
          <w:p w:rsidR="003F3C02" w:rsidRPr="009C5B15" w:rsidRDefault="003F3C02" w:rsidP="007B6A72">
            <w:pPr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9C5B15">
              <w:rPr>
                <w:rFonts w:asciiTheme="minorHAnsi" w:hAnsiTheme="minorHAnsi" w:cs="Times New Roman"/>
                <w:b/>
                <w:sz w:val="22"/>
                <w:szCs w:val="22"/>
              </w:rPr>
              <w:t>Basic navigational watchkeeping</w:t>
            </w:r>
          </w:p>
        </w:tc>
      </w:tr>
      <w:tr w:rsidR="003F3C02" w:rsidRPr="00522415" w:rsidTr="004956E5">
        <w:trPr>
          <w:cantSplit/>
        </w:trPr>
        <w:tc>
          <w:tcPr>
            <w:tcW w:w="1774" w:type="dxa"/>
          </w:tcPr>
          <w:p w:rsidR="003F3C02" w:rsidRPr="00522415" w:rsidRDefault="003F3C02" w:rsidP="007B6A72">
            <w:pPr>
              <w:spacing w:before="60" w:after="6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522415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Level: </w:t>
            </w:r>
          </w:p>
        </w:tc>
        <w:tc>
          <w:tcPr>
            <w:tcW w:w="7623" w:type="dxa"/>
            <w:gridSpan w:val="2"/>
          </w:tcPr>
          <w:p w:rsidR="003F3C02" w:rsidRPr="009C5B15" w:rsidRDefault="003F3C02" w:rsidP="007B6A72">
            <w:pPr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9C5B15">
              <w:rPr>
                <w:rFonts w:asciiTheme="minorHAnsi" w:hAnsiTheme="minorHAnsi" w:cs="Times New Roman"/>
                <w:b/>
                <w:sz w:val="22"/>
                <w:szCs w:val="22"/>
              </w:rPr>
              <w:t>2</w:t>
            </w:r>
          </w:p>
        </w:tc>
      </w:tr>
      <w:tr w:rsidR="003F3C02" w:rsidRPr="00522415" w:rsidTr="004956E5">
        <w:trPr>
          <w:cantSplit/>
        </w:trPr>
        <w:tc>
          <w:tcPr>
            <w:tcW w:w="1774" w:type="dxa"/>
          </w:tcPr>
          <w:p w:rsidR="003F3C02" w:rsidRPr="00522415" w:rsidRDefault="003F3C02" w:rsidP="007B6A72">
            <w:pPr>
              <w:spacing w:before="60" w:after="6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522415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Credit value: </w:t>
            </w:r>
          </w:p>
        </w:tc>
        <w:tc>
          <w:tcPr>
            <w:tcW w:w="7623" w:type="dxa"/>
            <w:gridSpan w:val="2"/>
          </w:tcPr>
          <w:p w:rsidR="003F3C02" w:rsidRPr="009C5B15" w:rsidRDefault="003F3C02" w:rsidP="007B6A72">
            <w:pPr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9C5B15">
              <w:rPr>
                <w:rFonts w:asciiTheme="minorHAnsi" w:hAnsiTheme="minorHAnsi" w:cs="Times New Roman"/>
                <w:b/>
                <w:sz w:val="22"/>
                <w:szCs w:val="22"/>
              </w:rPr>
              <w:t>2</w:t>
            </w:r>
          </w:p>
        </w:tc>
      </w:tr>
      <w:tr w:rsidR="003F3C02" w:rsidRPr="00522415" w:rsidTr="007B6A72">
        <w:trPr>
          <w:cantSplit/>
        </w:trPr>
        <w:tc>
          <w:tcPr>
            <w:tcW w:w="3758" w:type="dxa"/>
            <w:gridSpan w:val="2"/>
          </w:tcPr>
          <w:p w:rsidR="003F3C02" w:rsidRPr="00FF51D1" w:rsidRDefault="003F3C02" w:rsidP="00FF51D1">
            <w:pPr>
              <w:spacing w:before="60" w:after="60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b/>
                <w:sz w:val="22"/>
                <w:szCs w:val="22"/>
              </w:rPr>
              <w:t>Learning outcomes</w:t>
            </w:r>
            <w:r w:rsidR="007B6A72" w:rsidRPr="00FF51D1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- </w:t>
            </w:r>
            <w:r w:rsidRPr="00FF51D1">
              <w:rPr>
                <w:rFonts w:asciiTheme="minorHAnsi" w:hAnsiTheme="minorHAnsi" w:cs="Times New Roman"/>
                <w:b/>
                <w:sz w:val="22"/>
                <w:szCs w:val="22"/>
              </w:rPr>
              <w:t>The learner will:</w:t>
            </w:r>
          </w:p>
        </w:tc>
        <w:tc>
          <w:tcPr>
            <w:tcW w:w="5639" w:type="dxa"/>
          </w:tcPr>
          <w:p w:rsidR="003F3C02" w:rsidRPr="00FF51D1" w:rsidRDefault="003F3C02" w:rsidP="00FF51D1">
            <w:pPr>
              <w:spacing w:before="60" w:after="60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b/>
                <w:sz w:val="22"/>
                <w:szCs w:val="22"/>
              </w:rPr>
              <w:t>Assessment criteria</w:t>
            </w:r>
            <w:r w:rsidR="007B6A72" w:rsidRPr="00FF51D1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- </w:t>
            </w:r>
            <w:r w:rsidRPr="00FF51D1">
              <w:rPr>
                <w:rFonts w:asciiTheme="minorHAnsi" w:hAnsiTheme="minorHAnsi" w:cs="Times New Roman"/>
                <w:b/>
                <w:sz w:val="22"/>
                <w:szCs w:val="22"/>
              </w:rPr>
              <w:t>The learner can:</w:t>
            </w:r>
          </w:p>
        </w:tc>
      </w:tr>
      <w:tr w:rsidR="003F3C02" w:rsidRPr="00522415" w:rsidTr="007B6A72">
        <w:trPr>
          <w:cantSplit/>
        </w:trPr>
        <w:tc>
          <w:tcPr>
            <w:tcW w:w="3758" w:type="dxa"/>
            <w:gridSpan w:val="2"/>
          </w:tcPr>
          <w:p w:rsidR="003F3C02" w:rsidRPr="00FF51D1" w:rsidRDefault="003F3C02" w:rsidP="00FF51D1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 xml:space="preserve">1. Know common nautical terms </w:t>
            </w:r>
          </w:p>
        </w:tc>
        <w:tc>
          <w:tcPr>
            <w:tcW w:w="5639" w:type="dxa"/>
          </w:tcPr>
          <w:p w:rsidR="003F3C02" w:rsidRPr="00FF51D1" w:rsidRDefault="00606355" w:rsidP="00FF51D1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1.1  </w:t>
            </w:r>
            <w:r w:rsidR="003F3C02" w:rsidRPr="00FF51D1">
              <w:rPr>
                <w:rFonts w:asciiTheme="minorHAnsi" w:hAnsiTheme="minorHAnsi" w:cs="Times New Roman"/>
                <w:sz w:val="22"/>
                <w:szCs w:val="22"/>
              </w:rPr>
              <w:t>Define nautical terms related to vessel operations including:</w:t>
            </w:r>
          </w:p>
          <w:p w:rsidR="003F3C02" w:rsidRPr="00FF51D1" w:rsidRDefault="003F3C02" w:rsidP="00FF51D1">
            <w:pPr>
              <w:numPr>
                <w:ilvl w:val="0"/>
                <w:numId w:val="1"/>
              </w:num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port</w:t>
            </w:r>
          </w:p>
          <w:p w:rsidR="003F3C02" w:rsidRPr="00FF51D1" w:rsidRDefault="003F3C02" w:rsidP="00FF51D1">
            <w:pPr>
              <w:numPr>
                <w:ilvl w:val="0"/>
                <w:numId w:val="1"/>
              </w:num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 xml:space="preserve">starboard </w:t>
            </w:r>
          </w:p>
          <w:p w:rsidR="003F3C02" w:rsidRPr="00FF51D1" w:rsidRDefault="003F3C02" w:rsidP="00FF51D1">
            <w:pPr>
              <w:numPr>
                <w:ilvl w:val="0"/>
                <w:numId w:val="1"/>
              </w:num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 xml:space="preserve">bow </w:t>
            </w:r>
          </w:p>
          <w:p w:rsidR="003F3C02" w:rsidRPr="00FF51D1" w:rsidRDefault="003F3C02" w:rsidP="00FF51D1">
            <w:pPr>
              <w:numPr>
                <w:ilvl w:val="0"/>
                <w:numId w:val="1"/>
              </w:num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stern</w:t>
            </w:r>
          </w:p>
          <w:p w:rsidR="003F3C02" w:rsidRPr="00FF51D1" w:rsidRDefault="003F3C02" w:rsidP="00FF51D1">
            <w:pPr>
              <w:numPr>
                <w:ilvl w:val="0"/>
                <w:numId w:val="1"/>
              </w:num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 xml:space="preserve">underway </w:t>
            </w:r>
          </w:p>
        </w:tc>
      </w:tr>
      <w:tr w:rsidR="003F3C02" w:rsidRPr="00522415" w:rsidTr="007B6A72">
        <w:trPr>
          <w:cantSplit/>
        </w:trPr>
        <w:tc>
          <w:tcPr>
            <w:tcW w:w="3758" w:type="dxa"/>
            <w:gridSpan w:val="2"/>
          </w:tcPr>
          <w:p w:rsidR="003F3C02" w:rsidRPr="00FF51D1" w:rsidRDefault="003F3C02" w:rsidP="00FF51D1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2. Know how to contribute to the monitoring and control of a safe watch</w:t>
            </w:r>
          </w:p>
        </w:tc>
        <w:tc>
          <w:tcPr>
            <w:tcW w:w="5639" w:type="dxa"/>
          </w:tcPr>
          <w:p w:rsidR="003F3C02" w:rsidRPr="00FF51D1" w:rsidRDefault="003F3C02" w:rsidP="00FF51D1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 xml:space="preserve">2.1 </w:t>
            </w:r>
            <w:r w:rsidR="0060635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Identify relevant navigational sightings, sounds and weather changes that may affect the vessel</w:t>
            </w:r>
          </w:p>
          <w:p w:rsidR="003F3C02" w:rsidRPr="00FF51D1" w:rsidRDefault="003F3C02" w:rsidP="00FF51D1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2.2</w:t>
            </w:r>
            <w:r w:rsidR="00623613" w:rsidRPr="00FF51D1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60635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623613" w:rsidRPr="00FF51D1">
              <w:rPr>
                <w:rFonts w:asciiTheme="minorHAnsi" w:hAnsiTheme="minorHAnsi" w:cs="Times New Roman"/>
                <w:sz w:val="22"/>
                <w:szCs w:val="22"/>
              </w:rPr>
              <w:t>Explain how to r</w:t>
            </w: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eport  relative bearings of sounds, lights and other objects</w:t>
            </w:r>
          </w:p>
        </w:tc>
      </w:tr>
      <w:tr w:rsidR="003F3C02" w:rsidRPr="00522415" w:rsidTr="007B6A72">
        <w:trPr>
          <w:cantSplit/>
        </w:trPr>
        <w:tc>
          <w:tcPr>
            <w:tcW w:w="3758" w:type="dxa"/>
            <w:gridSpan w:val="2"/>
          </w:tcPr>
          <w:p w:rsidR="003F3C02" w:rsidRPr="00FF51D1" w:rsidRDefault="003F3C02" w:rsidP="00FF51D1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 xml:space="preserve">3. Understand what is involved in steering a vessel  </w:t>
            </w:r>
          </w:p>
        </w:tc>
        <w:tc>
          <w:tcPr>
            <w:tcW w:w="5639" w:type="dxa"/>
          </w:tcPr>
          <w:p w:rsidR="003F3C02" w:rsidRPr="00FF51D1" w:rsidRDefault="003F3C02" w:rsidP="00FF51D1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 xml:space="preserve">3.1 </w:t>
            </w:r>
            <w:r w:rsidR="0060635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Describe the difference between a gyro</w:t>
            </w:r>
            <w:r w:rsidR="00623613" w:rsidRPr="00FF51D1">
              <w:rPr>
                <w:rFonts w:asciiTheme="minorHAnsi" w:hAnsiTheme="minorHAnsi" w:cs="Times New Roman"/>
                <w:sz w:val="22"/>
                <w:szCs w:val="22"/>
              </w:rPr>
              <w:t xml:space="preserve">scope </w:t>
            </w: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 xml:space="preserve"> and a magnetic compass</w:t>
            </w:r>
          </w:p>
          <w:p w:rsidR="003F3C02" w:rsidRPr="00FF51D1" w:rsidRDefault="003F3C02" w:rsidP="00FF51D1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 xml:space="preserve">3.2 </w:t>
            </w:r>
            <w:r w:rsidR="0060635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Explain the meaning of common helm orders</w:t>
            </w:r>
          </w:p>
          <w:p w:rsidR="003F3C02" w:rsidRPr="00FF51D1" w:rsidRDefault="003F3C02" w:rsidP="00FF51D1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 xml:space="preserve">3.3 </w:t>
            </w:r>
            <w:r w:rsidR="0060635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Explain helm order procedure</w:t>
            </w:r>
          </w:p>
          <w:p w:rsidR="003F3C02" w:rsidRPr="00FF51D1" w:rsidRDefault="003F3C02" w:rsidP="00FF51D1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 xml:space="preserve">3.4 </w:t>
            </w:r>
            <w:r w:rsidR="0060635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Describe the effects of wind, sea state and ship’s speed on steering a vessel</w:t>
            </w:r>
          </w:p>
          <w:p w:rsidR="003F3C02" w:rsidRPr="00FF51D1" w:rsidRDefault="003F3C02" w:rsidP="00FF51D1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 xml:space="preserve">3.5 </w:t>
            </w:r>
            <w:r w:rsidR="0060635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Describe the change-over procedure between manual and automatic steering modes</w:t>
            </w:r>
          </w:p>
        </w:tc>
      </w:tr>
      <w:tr w:rsidR="003F3C02" w:rsidRPr="00522415" w:rsidTr="007B6A72">
        <w:trPr>
          <w:cantSplit/>
        </w:trPr>
        <w:tc>
          <w:tcPr>
            <w:tcW w:w="3758" w:type="dxa"/>
            <w:gridSpan w:val="2"/>
          </w:tcPr>
          <w:p w:rsidR="003F3C02" w:rsidRPr="00FF51D1" w:rsidRDefault="003F3C02" w:rsidP="00FF51D1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 xml:space="preserve">4. Know what bridge equipment  is used for lookout and watchkeeping duties </w:t>
            </w:r>
          </w:p>
        </w:tc>
        <w:tc>
          <w:tcPr>
            <w:tcW w:w="5639" w:type="dxa"/>
          </w:tcPr>
          <w:p w:rsidR="003F3C02" w:rsidRPr="00FF51D1" w:rsidRDefault="003F3C02" w:rsidP="00FF51D1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 xml:space="preserve">1. </w:t>
            </w:r>
            <w:r w:rsidR="0060635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Identify common bridge equipment used during lookout and watchkeeping duties</w:t>
            </w:r>
          </w:p>
          <w:p w:rsidR="003F3C02" w:rsidRPr="00FF51D1" w:rsidRDefault="003F3C02" w:rsidP="00FF51D1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 xml:space="preserve">2. </w:t>
            </w:r>
            <w:r w:rsidR="0060635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 xml:space="preserve">Identify equipment alarms </w:t>
            </w:r>
          </w:p>
          <w:p w:rsidR="003F3C02" w:rsidRPr="00FF51D1" w:rsidRDefault="003F3C02" w:rsidP="00FF51D1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 xml:space="preserve">3. </w:t>
            </w:r>
            <w:r w:rsidR="0060635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Explain the importance of reporting alarms to the Officer Of the Watch</w:t>
            </w:r>
          </w:p>
        </w:tc>
      </w:tr>
      <w:tr w:rsidR="00606355" w:rsidRPr="00522415" w:rsidTr="004B4394">
        <w:trPr>
          <w:cantSplit/>
        </w:trPr>
        <w:tc>
          <w:tcPr>
            <w:tcW w:w="9397" w:type="dxa"/>
            <w:gridSpan w:val="3"/>
          </w:tcPr>
          <w:p w:rsidR="00606355" w:rsidRPr="00FF51D1" w:rsidRDefault="00606355" w:rsidP="00FF51D1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3F3C02" w:rsidRPr="00522415" w:rsidTr="007B6A72">
        <w:trPr>
          <w:cantSplit/>
        </w:trPr>
        <w:tc>
          <w:tcPr>
            <w:tcW w:w="3758" w:type="dxa"/>
            <w:gridSpan w:val="2"/>
          </w:tcPr>
          <w:p w:rsidR="003F3C02" w:rsidRPr="00FF51D1" w:rsidRDefault="003F3C02" w:rsidP="00FF51D1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Additional information about the unit</w:t>
            </w:r>
          </w:p>
        </w:tc>
        <w:tc>
          <w:tcPr>
            <w:tcW w:w="5639" w:type="dxa"/>
          </w:tcPr>
          <w:p w:rsidR="003F3C02" w:rsidRPr="00FF51D1" w:rsidRDefault="003F3C02" w:rsidP="00FF51D1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 xml:space="preserve">This unit is designed for those whose role is to assist with a navigational watch, contributing towards the watch rating certificate as defined in STCW A-II/4.  </w:t>
            </w:r>
          </w:p>
        </w:tc>
      </w:tr>
      <w:tr w:rsidR="003F3C02" w:rsidRPr="00522415" w:rsidTr="007B6A72">
        <w:trPr>
          <w:cantSplit/>
        </w:trPr>
        <w:tc>
          <w:tcPr>
            <w:tcW w:w="3758" w:type="dxa"/>
            <w:gridSpan w:val="2"/>
          </w:tcPr>
          <w:p w:rsidR="003F3C02" w:rsidRPr="00FF51D1" w:rsidRDefault="003F3C02" w:rsidP="00FF51D1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Unit aim(s)</w:t>
            </w:r>
          </w:p>
        </w:tc>
        <w:tc>
          <w:tcPr>
            <w:tcW w:w="5639" w:type="dxa"/>
          </w:tcPr>
          <w:p w:rsidR="003F3C02" w:rsidRPr="00FF51D1" w:rsidRDefault="003F3C02" w:rsidP="00FF51D1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bookmarkStart w:id="0" w:name="OLE_LINK4"/>
            <w:r w:rsidRPr="00FF51D1">
              <w:rPr>
                <w:rFonts w:asciiTheme="minorHAnsi" w:hAnsiTheme="minorHAnsi" w:cs="Times New Roman"/>
                <w:sz w:val="22"/>
                <w:szCs w:val="22"/>
              </w:rPr>
              <w:t xml:space="preserve">The aim of the unit is to provide the knowledge for bridge watchkeeping for those who assist the person in charge of the watch.  </w:t>
            </w:r>
            <w:bookmarkEnd w:id="0"/>
          </w:p>
        </w:tc>
      </w:tr>
      <w:tr w:rsidR="003F3C02" w:rsidRPr="00522415" w:rsidTr="007B6A72">
        <w:trPr>
          <w:cantSplit/>
        </w:trPr>
        <w:tc>
          <w:tcPr>
            <w:tcW w:w="3758" w:type="dxa"/>
            <w:gridSpan w:val="2"/>
          </w:tcPr>
          <w:p w:rsidR="003F3C02" w:rsidRPr="00FF51D1" w:rsidRDefault="003F3C02" w:rsidP="00FF51D1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Unit expiry date</w:t>
            </w:r>
          </w:p>
        </w:tc>
        <w:tc>
          <w:tcPr>
            <w:tcW w:w="5639" w:type="dxa"/>
          </w:tcPr>
          <w:p w:rsidR="003F3C02" w:rsidRPr="00FF51D1" w:rsidRDefault="003F3C02" w:rsidP="00FF51D1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TBA</w:t>
            </w:r>
          </w:p>
        </w:tc>
      </w:tr>
      <w:tr w:rsidR="003F3C02" w:rsidRPr="007B6A72" w:rsidTr="007B6A72">
        <w:trPr>
          <w:cantSplit/>
        </w:trPr>
        <w:tc>
          <w:tcPr>
            <w:tcW w:w="3758" w:type="dxa"/>
            <w:gridSpan w:val="2"/>
          </w:tcPr>
          <w:p w:rsidR="003F3C02" w:rsidRPr="00FF51D1" w:rsidRDefault="003F3C02" w:rsidP="00FF51D1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Details of the relationship between the unit and relevant national occupational standards</w:t>
            </w:r>
          </w:p>
        </w:tc>
        <w:tc>
          <w:tcPr>
            <w:tcW w:w="5639" w:type="dxa"/>
          </w:tcPr>
          <w:p w:rsidR="003F3C02" w:rsidRPr="00FF51D1" w:rsidRDefault="003F3C02" w:rsidP="00FF51D1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pt-BR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  <w:lang w:val="pt-BR"/>
              </w:rPr>
              <w:t>MNTB/SFIA Marine NOS unit B1</w:t>
            </w:r>
          </w:p>
          <w:p w:rsidR="003F3C02" w:rsidRPr="00FF51D1" w:rsidRDefault="003F3C02" w:rsidP="00FF51D1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pt-BR"/>
              </w:rPr>
            </w:pPr>
          </w:p>
        </w:tc>
      </w:tr>
      <w:tr w:rsidR="003F3C02" w:rsidRPr="00522415" w:rsidTr="007B6A72">
        <w:trPr>
          <w:cantSplit/>
        </w:trPr>
        <w:tc>
          <w:tcPr>
            <w:tcW w:w="3758" w:type="dxa"/>
            <w:gridSpan w:val="2"/>
          </w:tcPr>
          <w:p w:rsidR="003F3C02" w:rsidRPr="00FF51D1" w:rsidRDefault="003F3C02" w:rsidP="00FF51D1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Details of the relationship between  the unit and other appropriate standards or curricula</w:t>
            </w:r>
          </w:p>
        </w:tc>
        <w:tc>
          <w:tcPr>
            <w:tcW w:w="5639" w:type="dxa"/>
          </w:tcPr>
          <w:p w:rsidR="003F3C02" w:rsidRPr="00FF51D1" w:rsidRDefault="003F3C02" w:rsidP="00FF51D1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MNTB/SFIA Underpinning Knowledge Library Documents</w:t>
            </w:r>
          </w:p>
          <w:p w:rsidR="003F3C02" w:rsidRPr="00FF51D1" w:rsidRDefault="003F3C02" w:rsidP="00FF51D1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MCA Navigational watch rating certificate</w:t>
            </w:r>
          </w:p>
          <w:p w:rsidR="003F3C02" w:rsidRPr="00FF51D1" w:rsidRDefault="003F3C02" w:rsidP="00FF51D1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Contributes to the SFIA 2 day navigation course</w:t>
            </w:r>
          </w:p>
        </w:tc>
      </w:tr>
      <w:tr w:rsidR="003F3C02" w:rsidRPr="00522415" w:rsidTr="007B6A72">
        <w:trPr>
          <w:cantSplit/>
        </w:trPr>
        <w:tc>
          <w:tcPr>
            <w:tcW w:w="3758" w:type="dxa"/>
            <w:gridSpan w:val="2"/>
          </w:tcPr>
          <w:p w:rsidR="003F3C02" w:rsidRPr="00FF51D1" w:rsidRDefault="003F3C02" w:rsidP="00FF51D1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Assessment requirements specified by a sector or regulatory body</w:t>
            </w:r>
          </w:p>
        </w:tc>
        <w:tc>
          <w:tcPr>
            <w:tcW w:w="5639" w:type="dxa"/>
          </w:tcPr>
          <w:p w:rsidR="003F3C02" w:rsidRPr="00FF51D1" w:rsidRDefault="003F3C02" w:rsidP="00FF51D1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bookmarkStart w:id="1" w:name="OLE_LINK2"/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Assessment will be by a combination of the following methods – assignment; knowledge based testing; project work; presentation; practical demonstration; other, - as agreed by the external verifier</w:t>
            </w:r>
            <w:bookmarkEnd w:id="1"/>
          </w:p>
        </w:tc>
      </w:tr>
      <w:tr w:rsidR="003F3C02" w:rsidRPr="00522415" w:rsidTr="007B6A72">
        <w:trPr>
          <w:cantSplit/>
        </w:trPr>
        <w:tc>
          <w:tcPr>
            <w:tcW w:w="3758" w:type="dxa"/>
            <w:gridSpan w:val="2"/>
          </w:tcPr>
          <w:p w:rsidR="003F3C02" w:rsidRPr="00FF51D1" w:rsidRDefault="003F3C02" w:rsidP="00FF51D1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Endorsement of the unit by a sector or other appropriate body</w:t>
            </w:r>
          </w:p>
        </w:tc>
        <w:tc>
          <w:tcPr>
            <w:tcW w:w="5639" w:type="dxa"/>
          </w:tcPr>
          <w:p w:rsidR="003F3C02" w:rsidRPr="00FF51D1" w:rsidRDefault="003F3C02" w:rsidP="00FF51D1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Maritime Skills Alliance</w:t>
            </w:r>
          </w:p>
          <w:p w:rsidR="003F3C02" w:rsidRPr="00FF51D1" w:rsidRDefault="003F3C02" w:rsidP="00FF51D1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Maritime and Coastguard Agency</w:t>
            </w:r>
          </w:p>
          <w:p w:rsidR="003F3C02" w:rsidRPr="00FF51D1" w:rsidRDefault="003F3C02" w:rsidP="00FF51D1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Merchant Navy Training Board</w:t>
            </w:r>
          </w:p>
          <w:p w:rsidR="003F3C02" w:rsidRPr="00FF51D1" w:rsidRDefault="003F3C02" w:rsidP="00FF51D1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Seafish Industry Authority</w:t>
            </w:r>
          </w:p>
        </w:tc>
      </w:tr>
      <w:tr w:rsidR="003F3C02" w:rsidRPr="00522415" w:rsidTr="007B6A72">
        <w:trPr>
          <w:cantSplit/>
        </w:trPr>
        <w:tc>
          <w:tcPr>
            <w:tcW w:w="3758" w:type="dxa"/>
            <w:gridSpan w:val="2"/>
          </w:tcPr>
          <w:p w:rsidR="003F3C02" w:rsidRPr="00FF51D1" w:rsidRDefault="003F3C02" w:rsidP="00FF51D1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Location of the unit within the subject/sector classification system</w:t>
            </w:r>
          </w:p>
        </w:tc>
        <w:tc>
          <w:tcPr>
            <w:tcW w:w="5639" w:type="dxa"/>
          </w:tcPr>
          <w:p w:rsidR="003F3C02" w:rsidRPr="00FF51D1" w:rsidRDefault="003F3C02" w:rsidP="00FF51D1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Transportation Operations and Maintenance</w:t>
            </w:r>
          </w:p>
          <w:p w:rsidR="003F3C02" w:rsidRPr="00FF51D1" w:rsidRDefault="003F3C02" w:rsidP="00FF51D1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3F3C02" w:rsidRPr="00522415" w:rsidTr="007B6A72">
        <w:trPr>
          <w:cantSplit/>
        </w:trPr>
        <w:tc>
          <w:tcPr>
            <w:tcW w:w="3758" w:type="dxa"/>
            <w:gridSpan w:val="2"/>
          </w:tcPr>
          <w:p w:rsidR="003F3C02" w:rsidRPr="00FF51D1" w:rsidRDefault="003F3C02" w:rsidP="00FF51D1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Name of the organisation submitting the unit</w:t>
            </w:r>
          </w:p>
        </w:tc>
        <w:tc>
          <w:tcPr>
            <w:tcW w:w="5639" w:type="dxa"/>
          </w:tcPr>
          <w:p w:rsidR="003F3C02" w:rsidRPr="00FF51D1" w:rsidRDefault="003F3C02" w:rsidP="00FF51D1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S</w:t>
            </w:r>
            <w:r w:rsidR="00FF51D1">
              <w:rPr>
                <w:rFonts w:asciiTheme="minorHAnsi" w:hAnsiTheme="minorHAnsi" w:cs="Times New Roman"/>
                <w:sz w:val="22"/>
                <w:szCs w:val="22"/>
              </w:rPr>
              <w:t>kills for Logistics for the Maritime Skills Alliance</w:t>
            </w:r>
          </w:p>
        </w:tc>
      </w:tr>
      <w:tr w:rsidR="003F3C02" w:rsidRPr="00522415" w:rsidTr="007B6A72">
        <w:trPr>
          <w:cantSplit/>
        </w:trPr>
        <w:tc>
          <w:tcPr>
            <w:tcW w:w="3758" w:type="dxa"/>
            <w:gridSpan w:val="2"/>
          </w:tcPr>
          <w:p w:rsidR="003F3C02" w:rsidRPr="00FF51D1" w:rsidRDefault="003F3C02" w:rsidP="00FF51D1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Availability for use</w:t>
            </w:r>
          </w:p>
        </w:tc>
        <w:tc>
          <w:tcPr>
            <w:tcW w:w="5639" w:type="dxa"/>
          </w:tcPr>
          <w:p w:rsidR="003F3C02" w:rsidRPr="00FF51D1" w:rsidRDefault="003F3C02" w:rsidP="00FF51D1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Restricted</w:t>
            </w:r>
          </w:p>
        </w:tc>
      </w:tr>
      <w:tr w:rsidR="003F3C02" w:rsidRPr="00522415" w:rsidTr="007B6A72">
        <w:trPr>
          <w:cantSplit/>
        </w:trPr>
        <w:tc>
          <w:tcPr>
            <w:tcW w:w="3758" w:type="dxa"/>
            <w:gridSpan w:val="2"/>
          </w:tcPr>
          <w:p w:rsidR="003F3C02" w:rsidRPr="00FF51D1" w:rsidRDefault="003F3C02" w:rsidP="00FF51D1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Availability for delivery</w:t>
            </w:r>
          </w:p>
        </w:tc>
        <w:tc>
          <w:tcPr>
            <w:tcW w:w="5639" w:type="dxa"/>
          </w:tcPr>
          <w:p w:rsidR="003F3C02" w:rsidRPr="00FF51D1" w:rsidRDefault="003F3C02" w:rsidP="00FF51D1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01/09/2010</w:t>
            </w:r>
          </w:p>
        </w:tc>
      </w:tr>
      <w:tr w:rsidR="003F3C02" w:rsidRPr="00522415" w:rsidTr="007B6A72">
        <w:trPr>
          <w:cantSplit/>
        </w:trPr>
        <w:tc>
          <w:tcPr>
            <w:tcW w:w="3758" w:type="dxa"/>
            <w:gridSpan w:val="2"/>
          </w:tcPr>
          <w:p w:rsidR="003F3C02" w:rsidRPr="00FF51D1" w:rsidRDefault="003F3C02" w:rsidP="00FF51D1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Guided Learning Hours</w:t>
            </w:r>
          </w:p>
        </w:tc>
        <w:tc>
          <w:tcPr>
            <w:tcW w:w="5639" w:type="dxa"/>
          </w:tcPr>
          <w:p w:rsidR="003F3C02" w:rsidRPr="00FF51D1" w:rsidRDefault="003F3C02" w:rsidP="00FF51D1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FF51D1">
              <w:rPr>
                <w:rFonts w:asciiTheme="minorHAnsi" w:hAnsiTheme="minorHAnsi" w:cs="Times New Roman"/>
                <w:sz w:val="22"/>
                <w:szCs w:val="22"/>
              </w:rPr>
              <w:t>18</w:t>
            </w:r>
          </w:p>
        </w:tc>
      </w:tr>
    </w:tbl>
    <w:p w:rsidR="003F3C02" w:rsidRPr="00522415" w:rsidRDefault="003F3C02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</w:p>
    <w:p w:rsidR="003F3C02" w:rsidRPr="00522415" w:rsidRDefault="003F3C02">
      <w:pPr>
        <w:rPr>
          <w:rFonts w:asciiTheme="minorHAnsi" w:hAnsiTheme="minorHAnsi" w:cs="Times New Roman"/>
          <w:sz w:val="22"/>
          <w:szCs w:val="22"/>
        </w:rPr>
      </w:pPr>
    </w:p>
    <w:sectPr w:rsidR="003F3C02" w:rsidRPr="00522415" w:rsidSect="007B6A72">
      <w:footerReference w:type="default" r:id="rId8"/>
      <w:pgSz w:w="11906" w:h="16838"/>
      <w:pgMar w:top="1134" w:right="1418" w:bottom="130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C68" w:rsidRDefault="00EB1C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B1C68" w:rsidRDefault="00EB1C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tiger 45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C02" w:rsidRDefault="003F3C02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MSQ Basic navigational watchkeeping 15 Dec 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C68" w:rsidRDefault="00EB1C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B1C68" w:rsidRDefault="00EB1C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933F2"/>
    <w:multiLevelType w:val="hybridMultilevel"/>
    <w:tmpl w:val="0C6864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C02"/>
    <w:rsid w:val="001B2E98"/>
    <w:rsid w:val="003F3C02"/>
    <w:rsid w:val="004165A0"/>
    <w:rsid w:val="004956E5"/>
    <w:rsid w:val="00522415"/>
    <w:rsid w:val="00606355"/>
    <w:rsid w:val="00623613"/>
    <w:rsid w:val="00792F15"/>
    <w:rsid w:val="007B6A72"/>
    <w:rsid w:val="0084000A"/>
    <w:rsid w:val="009C5B15"/>
    <w:rsid w:val="009D6EB6"/>
    <w:rsid w:val="00CB5B4D"/>
    <w:rsid w:val="00EB1C68"/>
    <w:rsid w:val="00FF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0A"/>
    <w:rPr>
      <w:rFonts w:ascii="Frutiger 45 Light" w:hAnsi="Frutiger 45 Light" w:cs="Frutiger 45 Light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000A"/>
    <w:pPr>
      <w:tabs>
        <w:tab w:val="center" w:pos="4153"/>
        <w:tab w:val="right" w:pos="8306"/>
      </w:tabs>
    </w:pPr>
    <w:rPr>
      <w:rFonts w:ascii="Comic Sans MS" w:hAnsi="Comic Sans MS" w:cs="Times New Roman"/>
      <w:lang/>
    </w:rPr>
  </w:style>
  <w:style w:type="character" w:customStyle="1" w:styleId="HeaderChar">
    <w:name w:val="Header Char"/>
    <w:link w:val="Header"/>
    <w:uiPriority w:val="99"/>
    <w:rsid w:val="0084000A"/>
    <w:rPr>
      <w:rFonts w:ascii="Comic Sans MS" w:hAnsi="Comic Sans MS" w:cs="Comic Sans MS"/>
      <w:sz w:val="24"/>
      <w:szCs w:val="24"/>
    </w:rPr>
  </w:style>
  <w:style w:type="character" w:styleId="CommentReference">
    <w:name w:val="annotation reference"/>
    <w:uiPriority w:val="99"/>
    <w:rsid w:val="00840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000A"/>
    <w:rPr>
      <w:rFonts w:ascii="Comic Sans MS" w:hAnsi="Comic Sans MS" w:cs="Times New Roman"/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rsid w:val="0084000A"/>
    <w:rPr>
      <w:rFonts w:ascii="Comic Sans MS" w:hAnsi="Comic Sans MS" w:cs="Comic Sans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4000A"/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rsid w:val="0084000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4000A"/>
    <w:pPr>
      <w:tabs>
        <w:tab w:val="center" w:pos="4513"/>
        <w:tab w:val="right" w:pos="9026"/>
      </w:tabs>
    </w:pPr>
    <w:rPr>
      <w:rFonts w:cs="Times New Roman"/>
      <w:sz w:val="20"/>
      <w:szCs w:val="20"/>
      <w:lang/>
    </w:rPr>
  </w:style>
  <w:style w:type="character" w:customStyle="1" w:styleId="FooterChar">
    <w:name w:val="Footer Char"/>
    <w:link w:val="Footer"/>
    <w:uiPriority w:val="99"/>
    <w:rsid w:val="0084000A"/>
    <w:rPr>
      <w:rFonts w:ascii="Frutiger 45 Light" w:hAnsi="Frutiger 45 Light" w:cs="Frutiger 45 Light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B6A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gister.ofqual.gov.uk/Unit/Details/R_503_21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Iain Mackinnon</cp:lastModifiedBy>
  <cp:revision>15</cp:revision>
  <dcterms:created xsi:type="dcterms:W3CDTF">2010-12-15T12:08:00Z</dcterms:created>
  <dcterms:modified xsi:type="dcterms:W3CDTF">2014-05-22T20:37:00Z</dcterms:modified>
</cp:coreProperties>
</file>