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552"/>
        <w:gridCol w:w="5670"/>
      </w:tblGrid>
      <w:tr w:rsidR="00E114C2" w:rsidRPr="00185FEC" w:rsidTr="00E114C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4C2" w:rsidRDefault="00E114C2" w:rsidP="00185FEC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4C2" w:rsidRDefault="00E114C2" w:rsidP="00851E93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>
              <w:rPr>
                <w:rFonts w:asciiTheme="minorHAnsi" w:hAnsiTheme="minorHAnsi" w:cs="Gill Sans MT"/>
                <w:b/>
                <w:sz w:val="22"/>
                <w:szCs w:val="22"/>
              </w:rPr>
              <w:t>MQB 7.15 Appendix A</w:t>
            </w:r>
          </w:p>
        </w:tc>
      </w:tr>
      <w:tr w:rsidR="00851E93" w:rsidRPr="00185FEC" w:rsidTr="00E11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E93" w:rsidRPr="00185FEC" w:rsidRDefault="00851E93" w:rsidP="00185FEC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>
              <w:rPr>
                <w:rFonts w:asciiTheme="minorHAnsi" w:hAnsiTheme="minorHAnsi" w:cs="Gill Sans MT"/>
                <w:sz w:val="22"/>
                <w:szCs w:val="22"/>
              </w:rPr>
              <w:t>MSQ Unit 36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93" w:rsidRPr="00185FEC" w:rsidRDefault="00851E93" w:rsidP="00851E93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>
              <w:rPr>
                <w:rFonts w:asciiTheme="minorHAnsi" w:hAnsiTheme="minorHAnsi" w:cs="Gill Sans MT"/>
                <w:b/>
                <w:sz w:val="22"/>
                <w:szCs w:val="22"/>
              </w:rPr>
              <w:t xml:space="preserve">QCF Ref: </w:t>
            </w:r>
            <w:hyperlink r:id="rId7" w:history="1">
              <w:r w:rsidRPr="00851E93">
                <w:rPr>
                  <w:rStyle w:val="Hyperlink"/>
                  <w:rFonts w:asciiTheme="minorHAnsi" w:hAnsiTheme="minorHAnsi" w:cs="Gill Sans MT"/>
                  <w:b/>
                  <w:sz w:val="22"/>
                  <w:szCs w:val="22"/>
                </w:rPr>
                <w:t>F/502/8092</w:t>
              </w:r>
            </w:hyperlink>
          </w:p>
        </w:tc>
      </w:tr>
      <w:tr w:rsidR="00E36218" w:rsidRPr="00185FEC" w:rsidTr="00B35358"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:rsidR="00E36218" w:rsidRPr="00B35358" w:rsidRDefault="00E36218" w:rsidP="00185FEC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b w:val="0"/>
                <w:sz w:val="22"/>
                <w:szCs w:val="22"/>
              </w:rPr>
            </w:pPr>
            <w:r w:rsidRPr="00B35358">
              <w:rPr>
                <w:rFonts w:asciiTheme="minorHAnsi" w:hAnsiTheme="minorHAnsi" w:cs="Gill Sans MT"/>
                <w:b w:val="0"/>
                <w:sz w:val="22"/>
                <w:szCs w:val="22"/>
              </w:rPr>
              <w:t>Title: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218" w:rsidRPr="00185FEC" w:rsidRDefault="00E36218" w:rsidP="00185FEC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b/>
                <w:sz w:val="22"/>
                <w:szCs w:val="22"/>
              </w:rPr>
              <w:t>Numeracy for seafarers</w:t>
            </w:r>
          </w:p>
        </w:tc>
      </w:tr>
      <w:tr w:rsidR="00E36218" w:rsidRPr="00185FEC" w:rsidTr="00B35358">
        <w:tc>
          <w:tcPr>
            <w:tcW w:w="1490" w:type="dxa"/>
            <w:shd w:val="clear" w:color="auto" w:fill="auto"/>
          </w:tcPr>
          <w:p w:rsidR="00E36218" w:rsidRPr="00B35358" w:rsidRDefault="00185FEC" w:rsidP="00185FEC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b w:val="0"/>
                <w:sz w:val="22"/>
                <w:szCs w:val="22"/>
              </w:rPr>
            </w:pPr>
            <w:r w:rsidRPr="00B35358">
              <w:rPr>
                <w:rFonts w:asciiTheme="minorHAnsi" w:hAnsiTheme="minorHAnsi" w:cs="Gill Sans MT"/>
                <w:b w:val="0"/>
                <w:sz w:val="22"/>
                <w:szCs w:val="22"/>
              </w:rPr>
              <w:t xml:space="preserve">QCF </w:t>
            </w:r>
            <w:r w:rsidR="00E36218" w:rsidRPr="00B35358">
              <w:rPr>
                <w:rFonts w:asciiTheme="minorHAnsi" w:hAnsiTheme="minorHAnsi" w:cs="Gill Sans MT"/>
                <w:b w:val="0"/>
                <w:sz w:val="22"/>
                <w:szCs w:val="22"/>
              </w:rPr>
              <w:t>Level: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36218" w:rsidRPr="00185FEC" w:rsidRDefault="00E36218" w:rsidP="00185FEC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b/>
                <w:sz w:val="22"/>
                <w:szCs w:val="22"/>
              </w:rPr>
              <w:t>2</w:t>
            </w:r>
          </w:p>
        </w:tc>
      </w:tr>
      <w:tr w:rsidR="00E36218" w:rsidRPr="00185FEC" w:rsidTr="00B35358">
        <w:tc>
          <w:tcPr>
            <w:tcW w:w="1490" w:type="dxa"/>
            <w:shd w:val="clear" w:color="auto" w:fill="auto"/>
          </w:tcPr>
          <w:p w:rsidR="00E36218" w:rsidRPr="00B35358" w:rsidRDefault="00E36218" w:rsidP="00185FEC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b w:val="0"/>
                <w:sz w:val="22"/>
                <w:szCs w:val="22"/>
              </w:rPr>
            </w:pPr>
            <w:r w:rsidRPr="00B35358">
              <w:rPr>
                <w:rFonts w:asciiTheme="minorHAnsi" w:hAnsiTheme="minorHAnsi" w:cs="Gill Sans MT"/>
                <w:b w:val="0"/>
                <w:sz w:val="22"/>
                <w:szCs w:val="22"/>
              </w:rPr>
              <w:t>Credit value: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36218" w:rsidRPr="00185FEC" w:rsidRDefault="00E36218" w:rsidP="00185FEC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b/>
                <w:sz w:val="22"/>
                <w:szCs w:val="22"/>
              </w:rPr>
              <w:t>6</w:t>
            </w:r>
          </w:p>
        </w:tc>
      </w:tr>
      <w:tr w:rsidR="00E36218" w:rsidRPr="00185FEC" w:rsidTr="00B35358">
        <w:trPr>
          <w:trHeight w:val="70"/>
        </w:trPr>
        <w:tc>
          <w:tcPr>
            <w:tcW w:w="4042" w:type="dxa"/>
            <w:gridSpan w:val="2"/>
            <w:shd w:val="clear" w:color="auto" w:fill="auto"/>
          </w:tcPr>
          <w:p w:rsidR="00E36218" w:rsidRPr="00B35358" w:rsidRDefault="00B35358" w:rsidP="00B35358">
            <w:pPr>
              <w:pStyle w:val="TableColumnHeader"/>
              <w:spacing w:before="60" w:after="6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B35358">
              <w:rPr>
                <w:rFonts w:asciiTheme="minorHAnsi" w:hAnsiTheme="minorHAnsi" w:cs="Gill Sans MT"/>
                <w:sz w:val="22"/>
                <w:szCs w:val="22"/>
              </w:rPr>
              <w:t xml:space="preserve">Learning outcomes - </w:t>
            </w:r>
            <w:r w:rsidR="00E36218" w:rsidRPr="00B35358">
              <w:rPr>
                <w:rFonts w:asciiTheme="minorHAnsi" w:hAnsiTheme="minorHAnsi" w:cs="Gill Sans MT"/>
                <w:iCs/>
                <w:sz w:val="22"/>
                <w:szCs w:val="22"/>
              </w:rPr>
              <w:t>The learner will:</w:t>
            </w:r>
          </w:p>
        </w:tc>
        <w:tc>
          <w:tcPr>
            <w:tcW w:w="5670" w:type="dxa"/>
            <w:shd w:val="clear" w:color="auto" w:fill="auto"/>
          </w:tcPr>
          <w:p w:rsidR="00E36218" w:rsidRPr="00B35358" w:rsidRDefault="00B35358" w:rsidP="00B35358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B35358">
              <w:rPr>
                <w:rFonts w:asciiTheme="minorHAnsi" w:hAnsiTheme="minorHAnsi" w:cs="Gill Sans MT"/>
                <w:sz w:val="22"/>
                <w:szCs w:val="22"/>
              </w:rPr>
              <w:t xml:space="preserve">Assessment criteria - </w:t>
            </w:r>
            <w:r w:rsidR="00E36218" w:rsidRPr="00B35358">
              <w:rPr>
                <w:rFonts w:asciiTheme="minorHAnsi" w:hAnsiTheme="minorHAnsi" w:cs="Gill Sans MT"/>
                <w:iCs/>
                <w:sz w:val="22"/>
                <w:szCs w:val="22"/>
              </w:rPr>
              <w:t>The learner can:</w:t>
            </w:r>
          </w:p>
        </w:tc>
      </w:tr>
      <w:tr w:rsidR="00E36218" w:rsidRPr="00185FEC" w:rsidTr="00B35358">
        <w:trPr>
          <w:cantSplit/>
        </w:trPr>
        <w:tc>
          <w:tcPr>
            <w:tcW w:w="4042" w:type="dxa"/>
            <w:gridSpan w:val="2"/>
            <w:shd w:val="clear" w:color="auto" w:fill="auto"/>
          </w:tcPr>
          <w:p w:rsidR="00E36218" w:rsidRPr="00185FEC" w:rsidRDefault="00E36218" w:rsidP="00B35358">
            <w:pPr>
              <w:pStyle w:val="TableListNumber"/>
              <w:numPr>
                <w:ilvl w:val="0"/>
                <w:numId w:val="17"/>
              </w:numPr>
              <w:spacing w:after="120"/>
              <w:ind w:left="248" w:hanging="255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Be able to use numerical skills to solve a range of problems applicable to seafaring</w:t>
            </w:r>
          </w:p>
        </w:tc>
        <w:tc>
          <w:tcPr>
            <w:tcW w:w="5670" w:type="dxa"/>
            <w:shd w:val="clear" w:color="auto" w:fill="auto"/>
          </w:tcPr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 xml:space="preserve">identify numerical relationships contained within relevant  data  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 xml:space="preserve">apply numerical problem solving techniques 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apply statistical theory to problem solving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apply numerical theory to problem solving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undertake the necessary calculations correctly</w:t>
            </w:r>
          </w:p>
        </w:tc>
      </w:tr>
      <w:tr w:rsidR="00E36218" w:rsidRPr="00185FEC" w:rsidTr="00B35358">
        <w:trPr>
          <w:cantSplit/>
        </w:trPr>
        <w:tc>
          <w:tcPr>
            <w:tcW w:w="4042" w:type="dxa"/>
            <w:gridSpan w:val="2"/>
            <w:shd w:val="clear" w:color="auto" w:fill="auto"/>
          </w:tcPr>
          <w:p w:rsidR="00E36218" w:rsidRPr="00185FEC" w:rsidRDefault="00E36218" w:rsidP="00B35358">
            <w:pPr>
              <w:pStyle w:val="TableListNumber"/>
              <w:numPr>
                <w:ilvl w:val="0"/>
                <w:numId w:val="17"/>
              </w:numPr>
              <w:spacing w:after="120"/>
              <w:ind w:left="248" w:hanging="255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Be able to use a range of graphical information applicable to seafaring</w:t>
            </w:r>
          </w:p>
        </w:tc>
        <w:tc>
          <w:tcPr>
            <w:tcW w:w="5670" w:type="dxa"/>
            <w:shd w:val="clear" w:color="auto" w:fill="auto"/>
          </w:tcPr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identify significant features of a range of graphical forms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extract, information from  a range of  graphical forms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 xml:space="preserve">analyse, information from a range of graphical forms 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interpret information from a range of graphical forms</w:t>
            </w:r>
          </w:p>
          <w:p w:rsidR="00E36218" w:rsidRPr="00185FEC" w:rsidRDefault="00E36218" w:rsidP="002C6557">
            <w:pPr>
              <w:pStyle w:val="ListNumber"/>
              <w:numPr>
                <w:ilvl w:val="1"/>
                <w:numId w:val="17"/>
              </w:numPr>
              <w:spacing w:before="120"/>
              <w:ind w:left="544" w:hanging="511"/>
              <w:jc w:val="left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 xml:space="preserve">communicate information from a range of graphical forms  </w:t>
            </w:r>
          </w:p>
        </w:tc>
      </w:tr>
      <w:tr w:rsidR="00E36218" w:rsidRPr="00185FEC" w:rsidTr="00B35358">
        <w:tc>
          <w:tcPr>
            <w:tcW w:w="4042" w:type="dxa"/>
            <w:gridSpan w:val="2"/>
            <w:tcBorders>
              <w:right w:val="nil"/>
            </w:tcBorders>
            <w:shd w:val="clear" w:color="auto" w:fill="auto"/>
          </w:tcPr>
          <w:p w:rsidR="00E36218" w:rsidRPr="00B35358" w:rsidRDefault="00E36218" w:rsidP="00B35358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bCs/>
                <w:sz w:val="22"/>
                <w:szCs w:val="22"/>
              </w:rPr>
            </w:pPr>
            <w:r w:rsidRPr="00B35358">
              <w:rPr>
                <w:rFonts w:asciiTheme="minorHAnsi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E36218" w:rsidRPr="00B35358" w:rsidRDefault="00E36218" w:rsidP="00B35358">
            <w:pPr>
              <w:pStyle w:val="TableText"/>
              <w:spacing w:before="60" w:after="60" w:line="240" w:lineRule="auto"/>
              <w:ind w:left="185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spacing w:before="20" w:after="20"/>
              <w:rPr>
                <w:rFonts w:asciiTheme="minorHAnsi" w:hAnsiTheme="minorHAnsi" w:cs="Gill Sans MT"/>
              </w:rPr>
            </w:pPr>
            <w:r w:rsidRPr="00185FEC">
              <w:rPr>
                <w:rFonts w:asciiTheme="minorHAnsi" w:hAnsiTheme="minorHAnsi" w:cs="Gill Sans MT"/>
              </w:rPr>
              <w:t>The learner will be able to use numerical skills, calculations and graphical information, in a range of settings, to solve problems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670" w:type="dxa"/>
          </w:tcPr>
          <w:p w:rsidR="00E36218" w:rsidRPr="00F90163" w:rsidRDefault="00F90163" w:rsidP="00F90163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30.</w:t>
            </w:r>
            <w:r w:rsidRPr="00F90163">
              <w:rPr>
                <w:rFonts w:asciiTheme="minorHAnsi" w:hAnsiTheme="minorHAnsi"/>
                <w:sz w:val="22"/>
                <w:szCs w:val="22"/>
              </w:rPr>
              <w:t>9.2015</w:t>
            </w:r>
          </w:p>
        </w:tc>
      </w:tr>
      <w:tr w:rsidR="00E36218" w:rsidRPr="00185FEC" w:rsidTr="00B35358">
        <w:trPr>
          <w:cantSplit/>
        </w:trPr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670" w:type="dxa"/>
          </w:tcPr>
          <w:p w:rsidR="00E36218" w:rsidRPr="00185FEC" w:rsidRDefault="0092035B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>
              <w:rPr>
                <w:rFonts w:asciiTheme="minorHAnsi" w:hAnsiTheme="minorHAnsi" w:cs="Gill Sans MT"/>
                <w:sz w:val="22"/>
                <w:szCs w:val="22"/>
              </w:rPr>
              <w:t>MNTB NOS (Jan 2006)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Details of the relationship between the unit and other standards or curricula (if appropr</w:t>
            </w:r>
            <w:bookmarkStart w:id="0" w:name="_GoBack"/>
            <w:bookmarkEnd w:id="0"/>
            <w:r w:rsidRPr="00185FEC">
              <w:rPr>
                <w:rFonts w:asciiTheme="minorHAnsi" w:hAnsiTheme="minorHAnsi" w:cs="Gill Sans MT"/>
                <w:sz w:val="22"/>
                <w:szCs w:val="22"/>
              </w:rPr>
              <w:t>iate)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Maritime and Coastguard Agency Marine Guidance Notice regarding Certificates of C</w:t>
            </w:r>
            <w:r w:rsidR="00B35358">
              <w:rPr>
                <w:rFonts w:asciiTheme="minorHAnsi" w:hAnsiTheme="minorHAnsi" w:cs="Gill Sans MT"/>
                <w:sz w:val="22"/>
                <w:szCs w:val="22"/>
              </w:rPr>
              <w:t>ompetency – Engine Department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Maritime Skills Alliance Assessment Strategy</w:t>
            </w:r>
          </w:p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Maritime and Coastguard Agency requirements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670" w:type="dxa"/>
          </w:tcPr>
          <w:p w:rsidR="00E36218" w:rsidRPr="00185FEC" w:rsidRDefault="0092035B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>
              <w:rPr>
                <w:rFonts w:asciiTheme="minorHAnsi" w:hAnsiTheme="minorHAnsi" w:cs="Gill Sans MT"/>
                <w:sz w:val="22"/>
                <w:szCs w:val="22"/>
              </w:rPr>
              <w:t>Maritime Skills Alliance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670" w:type="dxa"/>
          </w:tcPr>
          <w:p w:rsidR="00E36218" w:rsidRPr="005425C9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5425C9">
              <w:rPr>
                <w:rFonts w:asciiTheme="minorHAnsi" w:hAnsiTheme="minorHAnsi" w:cs="Gill Sans MT"/>
                <w:sz w:val="22"/>
                <w:szCs w:val="22"/>
              </w:rPr>
              <w:t>Transportation</w:t>
            </w:r>
            <w:r w:rsidR="005425C9" w:rsidRPr="005425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425C9" w:rsidRPr="005425C9">
              <w:rPr>
                <w:rFonts w:ascii="Calibri" w:hAnsi="Calibri"/>
                <w:sz w:val="22"/>
                <w:szCs w:val="22"/>
              </w:rPr>
              <w:t>operations and maintenance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E36218" w:rsidRPr="00185FEC" w:rsidTr="00B35358">
        <w:tc>
          <w:tcPr>
            <w:tcW w:w="4042" w:type="dxa"/>
            <w:gridSpan w:val="2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670" w:type="dxa"/>
          </w:tcPr>
          <w:p w:rsidR="00E36218" w:rsidRPr="00185FEC" w:rsidRDefault="00E36218" w:rsidP="00B35358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185FEC">
              <w:rPr>
                <w:rFonts w:asciiTheme="minorHAnsi" w:hAnsiTheme="minorHAnsi" w:cs="Gill Sans MT"/>
                <w:sz w:val="22"/>
                <w:szCs w:val="22"/>
              </w:rPr>
              <w:t>60</w:t>
            </w:r>
          </w:p>
        </w:tc>
      </w:tr>
    </w:tbl>
    <w:p w:rsidR="00E36218" w:rsidRPr="00E114C2" w:rsidRDefault="00E36218" w:rsidP="00B35358">
      <w:pPr>
        <w:rPr>
          <w:rFonts w:asciiTheme="minorHAnsi" w:hAnsiTheme="minorHAnsi" w:cs="Times New Roman"/>
          <w:sz w:val="2"/>
          <w:szCs w:val="2"/>
        </w:rPr>
      </w:pPr>
    </w:p>
    <w:sectPr w:rsidR="00E36218" w:rsidRPr="00E114C2" w:rsidSect="00E114C2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4E" w:rsidRDefault="00AF3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F3A4E" w:rsidRDefault="00AF3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18" w:rsidRDefault="00E36218" w:rsidP="00003A0F">
    <w:pPr>
      <w:pStyle w:val="Footer"/>
      <w:tabs>
        <w:tab w:val="clear" w:pos="4153"/>
      </w:tabs>
      <w:rPr>
        <w:rFonts w:ascii="Calibri" w:hAnsi="Calibri" w:cs="Calibri"/>
      </w:rPr>
    </w:pPr>
  </w:p>
  <w:p w:rsidR="00E36218" w:rsidRDefault="00E3621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4E" w:rsidRDefault="00AF3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F3A4E" w:rsidRDefault="00AF3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436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-2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-2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  <w:num w:numId="17">
    <w:abstractNumId w:val="7"/>
  </w:num>
  <w:num w:numId="18">
    <w:abstractNumId w:val="2"/>
  </w:num>
  <w:num w:numId="19">
    <w:abstractNumId w:val="1"/>
  </w:num>
  <w:num w:numId="20">
    <w:abstractNumId w:val="5"/>
  </w:num>
  <w:num w:numId="21">
    <w:abstractNumId w:val="4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218"/>
    <w:rsid w:val="00003A0F"/>
    <w:rsid w:val="000230DC"/>
    <w:rsid w:val="00173B1B"/>
    <w:rsid w:val="00185FEC"/>
    <w:rsid w:val="002C6557"/>
    <w:rsid w:val="005425C9"/>
    <w:rsid w:val="00851E93"/>
    <w:rsid w:val="0092035B"/>
    <w:rsid w:val="00A61613"/>
    <w:rsid w:val="00AF3A4E"/>
    <w:rsid w:val="00B35358"/>
    <w:rsid w:val="00D460ED"/>
    <w:rsid w:val="00E114C2"/>
    <w:rsid w:val="00E36218"/>
    <w:rsid w:val="00F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7CA7C5-3439-4C6D-9375-1FAA060D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DC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30DC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rFonts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30DC"/>
    <w:pPr>
      <w:keepNext/>
      <w:numPr>
        <w:numId w:val="19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0230DC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0230DC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230D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30DC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0230DC"/>
    <w:pPr>
      <w:numPr>
        <w:numId w:val="15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0230DC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0230DC"/>
    <w:rPr>
      <w:b/>
      <w:bCs/>
    </w:rPr>
  </w:style>
  <w:style w:type="paragraph" w:customStyle="1" w:styleId="Knowledge">
    <w:name w:val="Knowledge"/>
    <w:basedOn w:val="Normal"/>
    <w:uiPriority w:val="99"/>
    <w:rsid w:val="000230DC"/>
    <w:pPr>
      <w:spacing w:before="120" w:after="120"/>
    </w:pPr>
  </w:style>
  <w:style w:type="paragraph" w:styleId="ListNumber">
    <w:name w:val="List Number"/>
    <w:basedOn w:val="Normal"/>
    <w:uiPriority w:val="99"/>
    <w:rsid w:val="000230DC"/>
    <w:pPr>
      <w:numPr>
        <w:ilvl w:val="1"/>
        <w:numId w:val="16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0230D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0230DC"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0230DC"/>
    <w:rPr>
      <w:rFonts w:cs="Times New Roman"/>
      <w:sz w:val="2"/>
      <w:szCs w:val="2"/>
      <w:lang w:val="en-US"/>
    </w:rPr>
  </w:style>
  <w:style w:type="character" w:customStyle="1" w:styleId="BalloonTextChar">
    <w:name w:val="Balloon Text Char"/>
    <w:link w:val="BalloonText"/>
    <w:uiPriority w:val="99"/>
    <w:rsid w:val="000230DC"/>
    <w:rPr>
      <w:rFonts w:ascii="Times New Roman" w:hAnsi="Times New Roman" w:cs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851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ister.ofqual.gov.uk/Unit/Details/F_502_8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Home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My Computer</dc:creator>
  <cp:lastModifiedBy>Iain Mackinnon</cp:lastModifiedBy>
  <cp:revision>10</cp:revision>
  <dcterms:created xsi:type="dcterms:W3CDTF">2013-08-20T09:58:00Z</dcterms:created>
  <dcterms:modified xsi:type="dcterms:W3CDTF">2015-09-03T06:51:00Z</dcterms:modified>
</cp:coreProperties>
</file>