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126DE6"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865307" w:rsidRDefault="00865307" w:rsidP="00865307">
            <w:pPr>
              <w:pStyle w:val="NOSNumberList"/>
              <w:numPr>
                <w:ilvl w:val="0"/>
                <w:numId w:val="0"/>
              </w:numPr>
              <w:spacing w:line="276" w:lineRule="exact"/>
            </w:pPr>
            <w:bookmarkStart w:id="1" w:name="StartOverview"/>
            <w:bookmarkEnd w:id="1"/>
            <w:r>
              <w:t>This standard covers the competence of recovering and transferring a casualty in a marine environment.  It includes assessing the condition of the casualty and determining a recovery plan, giving consideration to the hazards to the vessel and the casualty.</w:t>
            </w:r>
          </w:p>
          <w:p w:rsidR="00865307" w:rsidRDefault="00865307" w:rsidP="00865307">
            <w:pPr>
              <w:pStyle w:val="NOSNumberList"/>
              <w:numPr>
                <w:ilvl w:val="0"/>
                <w:numId w:val="0"/>
              </w:numPr>
              <w:spacing w:line="276" w:lineRule="exact"/>
            </w:pPr>
          </w:p>
          <w:p w:rsidR="004C5FA6" w:rsidRPr="004C5FA6" w:rsidRDefault="004C5FA6" w:rsidP="00865307">
            <w:pPr>
              <w:pStyle w:val="NOSNumberList"/>
              <w:numPr>
                <w:ilvl w:val="0"/>
                <w:numId w:val="0"/>
              </w:numPr>
              <w:spacing w:line="276" w:lineRule="exact"/>
              <w:rPr>
                <w:b/>
              </w:rPr>
            </w:pPr>
            <w:r>
              <w:rPr>
                <w:b/>
              </w:rPr>
              <w:t>Target Group</w:t>
            </w:r>
          </w:p>
          <w:p w:rsidR="00865307" w:rsidRDefault="00865307" w:rsidP="00865307">
            <w:pPr>
              <w:pStyle w:val="NOSNumberList"/>
              <w:numPr>
                <w:ilvl w:val="0"/>
                <w:numId w:val="0"/>
              </w:numPr>
              <w:spacing w:line="276" w:lineRule="exact"/>
            </w:pPr>
            <w:r>
              <w:t>This standard applies to individuals at the operational level with responsibility for recovering and transferring casualties in a marine environment, which includes operations in inland and coastal waters.</w:t>
            </w:r>
          </w:p>
          <w:p w:rsidR="00EE5D4B" w:rsidRDefault="00EE5D4B" w:rsidP="00865307">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126DE6"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B86877" w:rsidRDefault="00B86877" w:rsidP="00B86877">
            <w:pPr>
              <w:pStyle w:val="NOSBodyHeading"/>
              <w:spacing w:line="276" w:lineRule="auto"/>
              <w:rPr>
                <w:b w:val="0"/>
              </w:rPr>
            </w:pPr>
            <w:bookmarkStart w:id="4" w:name="StartPerformance"/>
            <w:bookmarkEnd w:id="4"/>
          </w:p>
          <w:p w:rsidR="00B86877" w:rsidRDefault="00B86877" w:rsidP="00B86877">
            <w:pPr>
              <w:pStyle w:val="NOSBodyHeading"/>
              <w:spacing w:line="276" w:lineRule="auto"/>
              <w:rPr>
                <w:b w:val="0"/>
              </w:rPr>
            </w:pPr>
          </w:p>
          <w:p w:rsidR="00B86877" w:rsidRDefault="00B86877" w:rsidP="00B86877">
            <w:pPr>
              <w:pStyle w:val="NOSBodyHeading"/>
              <w:spacing w:line="276" w:lineRule="auto"/>
              <w:rPr>
                <w:b w:val="0"/>
              </w:rPr>
            </w:pPr>
          </w:p>
          <w:p w:rsidR="00B86877" w:rsidRPr="001B0A7B" w:rsidRDefault="004C5FA6" w:rsidP="00B86877">
            <w:pPr>
              <w:pStyle w:val="NOSBodyHeading"/>
              <w:numPr>
                <w:ilvl w:val="0"/>
                <w:numId w:val="17"/>
              </w:numPr>
              <w:spacing w:line="276" w:lineRule="auto"/>
              <w:rPr>
                <w:b w:val="0"/>
              </w:rPr>
            </w:pPr>
            <w:r>
              <w:rPr>
                <w:b w:val="0"/>
              </w:rPr>
              <w:t>i</w:t>
            </w:r>
            <w:r w:rsidR="00B86877">
              <w:rPr>
                <w:b w:val="0"/>
              </w:rPr>
              <w:t>dentify the casualty, and their location and condition as fully as possible from the information available</w:t>
            </w:r>
          </w:p>
          <w:p w:rsidR="00B86877" w:rsidRPr="001B0A7B" w:rsidRDefault="004C5FA6" w:rsidP="00B86877">
            <w:pPr>
              <w:pStyle w:val="NOSBodyHeading"/>
              <w:numPr>
                <w:ilvl w:val="0"/>
                <w:numId w:val="17"/>
              </w:numPr>
              <w:spacing w:line="276" w:lineRule="auto"/>
              <w:rPr>
                <w:b w:val="0"/>
              </w:rPr>
            </w:pPr>
            <w:r>
              <w:rPr>
                <w:b w:val="0"/>
              </w:rPr>
              <w:t>a</w:t>
            </w:r>
            <w:r w:rsidR="00B86877">
              <w:rPr>
                <w:b w:val="0"/>
              </w:rPr>
              <w:t>ssess  the  condition  of  the  casualty  and  determine  a  recovery  plan,  giving consideration to the hazards faced by your vessel and by the casualty</w:t>
            </w:r>
          </w:p>
          <w:p w:rsidR="00B86877" w:rsidRPr="001B0A7B" w:rsidRDefault="004C5FA6" w:rsidP="00B86877">
            <w:pPr>
              <w:pStyle w:val="NOSBodyHeading"/>
              <w:numPr>
                <w:ilvl w:val="0"/>
                <w:numId w:val="17"/>
              </w:numPr>
              <w:spacing w:line="276" w:lineRule="auto"/>
              <w:rPr>
                <w:b w:val="0"/>
              </w:rPr>
            </w:pPr>
            <w:r>
              <w:rPr>
                <w:b w:val="0"/>
              </w:rPr>
              <w:t>b</w:t>
            </w:r>
            <w:r w:rsidR="00B86877">
              <w:rPr>
                <w:b w:val="0"/>
              </w:rPr>
              <w:t>rief all of those involved clearly and accurately</w:t>
            </w:r>
          </w:p>
          <w:p w:rsidR="00B86877" w:rsidRPr="001B0A7B" w:rsidRDefault="004C5FA6" w:rsidP="00B86877">
            <w:pPr>
              <w:pStyle w:val="NOSBodyHeading"/>
              <w:numPr>
                <w:ilvl w:val="0"/>
                <w:numId w:val="17"/>
              </w:numPr>
              <w:spacing w:line="276" w:lineRule="auto"/>
              <w:rPr>
                <w:b w:val="0"/>
              </w:rPr>
            </w:pPr>
            <w:r>
              <w:rPr>
                <w:b w:val="0"/>
              </w:rPr>
              <w:t>p</w:t>
            </w:r>
            <w:r w:rsidR="00B86877">
              <w:rPr>
                <w:b w:val="0"/>
              </w:rPr>
              <w:t>repare correctly any equipment to be used in the recovery</w:t>
            </w:r>
          </w:p>
          <w:p w:rsidR="00B86877" w:rsidRPr="001B0A7B" w:rsidRDefault="004C5FA6" w:rsidP="00B86877">
            <w:pPr>
              <w:pStyle w:val="NOSBodyHeading"/>
              <w:numPr>
                <w:ilvl w:val="0"/>
                <w:numId w:val="17"/>
              </w:numPr>
              <w:spacing w:line="276" w:lineRule="auto"/>
              <w:rPr>
                <w:b w:val="0"/>
              </w:rPr>
            </w:pPr>
            <w:r>
              <w:rPr>
                <w:b w:val="0"/>
              </w:rPr>
              <w:t>i</w:t>
            </w:r>
            <w:r w:rsidR="00B86877">
              <w:rPr>
                <w:b w:val="0"/>
              </w:rPr>
              <w:t>dentify and address any faults in the equipment promptly and correctly</w:t>
            </w:r>
          </w:p>
          <w:p w:rsidR="00B86877" w:rsidRPr="001B0A7B" w:rsidRDefault="004C5FA6" w:rsidP="00B86877">
            <w:pPr>
              <w:pStyle w:val="NOSBodyHeading"/>
              <w:numPr>
                <w:ilvl w:val="0"/>
                <w:numId w:val="17"/>
              </w:numPr>
              <w:spacing w:line="276" w:lineRule="auto"/>
              <w:rPr>
                <w:b w:val="0"/>
              </w:rPr>
            </w:pPr>
            <w:r>
              <w:rPr>
                <w:b w:val="0"/>
              </w:rPr>
              <w:t>t</w:t>
            </w:r>
            <w:r w:rsidR="00B86877">
              <w:rPr>
                <w:b w:val="0"/>
              </w:rPr>
              <w:t>ake all relevant steps to minimise any hazards to your crew, vessel and the casualty</w:t>
            </w:r>
          </w:p>
          <w:p w:rsidR="00B86877" w:rsidRPr="001B0A7B" w:rsidRDefault="004C5FA6" w:rsidP="00B86877">
            <w:pPr>
              <w:pStyle w:val="NOSBodyHeading"/>
              <w:numPr>
                <w:ilvl w:val="0"/>
                <w:numId w:val="17"/>
              </w:numPr>
              <w:spacing w:line="276" w:lineRule="auto"/>
              <w:rPr>
                <w:b w:val="0"/>
              </w:rPr>
            </w:pPr>
            <w:r>
              <w:rPr>
                <w:b w:val="0"/>
              </w:rPr>
              <w:t>i</w:t>
            </w:r>
            <w:r w:rsidR="00B86877">
              <w:rPr>
                <w:b w:val="0"/>
              </w:rPr>
              <w:t>mplement the agreed recovery plan correctly, deploying any rescue equipment safely and properly</w:t>
            </w:r>
          </w:p>
          <w:p w:rsidR="00B86877" w:rsidRPr="001B0A7B" w:rsidRDefault="004C5FA6" w:rsidP="00B86877">
            <w:pPr>
              <w:pStyle w:val="NOSBodyHeading"/>
              <w:numPr>
                <w:ilvl w:val="0"/>
                <w:numId w:val="17"/>
              </w:numPr>
              <w:spacing w:line="276" w:lineRule="auto"/>
              <w:rPr>
                <w:b w:val="0"/>
              </w:rPr>
            </w:pPr>
            <w:r>
              <w:rPr>
                <w:b w:val="0"/>
              </w:rPr>
              <w:t>s</w:t>
            </w:r>
            <w:r w:rsidR="00B86877">
              <w:rPr>
                <w:b w:val="0"/>
              </w:rPr>
              <w:t>ecure the casualty for safe transport</w:t>
            </w:r>
          </w:p>
          <w:p w:rsidR="00B86877" w:rsidRPr="001B0A7B" w:rsidRDefault="004C5FA6" w:rsidP="00B86877">
            <w:pPr>
              <w:pStyle w:val="NOSBodyHeading"/>
              <w:numPr>
                <w:ilvl w:val="0"/>
                <w:numId w:val="17"/>
              </w:numPr>
              <w:spacing w:line="276" w:lineRule="auto"/>
              <w:rPr>
                <w:b w:val="0"/>
              </w:rPr>
            </w:pPr>
            <w:r>
              <w:rPr>
                <w:b w:val="0"/>
              </w:rPr>
              <w:t>r</w:t>
            </w:r>
            <w:r w:rsidR="00B86877">
              <w:rPr>
                <w:b w:val="0"/>
              </w:rPr>
              <w:t>eview the casualty and make an accurate assessment of their condition</w:t>
            </w:r>
          </w:p>
          <w:p w:rsidR="00B86877" w:rsidRPr="001B0A7B" w:rsidRDefault="004C5FA6" w:rsidP="00B86877">
            <w:pPr>
              <w:pStyle w:val="NOSBodyHeading"/>
              <w:numPr>
                <w:ilvl w:val="0"/>
                <w:numId w:val="17"/>
              </w:numPr>
              <w:spacing w:line="276" w:lineRule="auto"/>
              <w:rPr>
                <w:b w:val="0"/>
              </w:rPr>
            </w:pPr>
            <w:r>
              <w:rPr>
                <w:b w:val="0"/>
              </w:rPr>
              <w:t>a</w:t>
            </w:r>
            <w:r w:rsidR="00B86877">
              <w:rPr>
                <w:b w:val="0"/>
              </w:rPr>
              <w:t>lert relevant agencies of the casualty's condition, providing all necessary information clearly and accurately</w:t>
            </w:r>
          </w:p>
          <w:p w:rsidR="00B86877" w:rsidRPr="001B0A7B" w:rsidRDefault="004C5FA6" w:rsidP="00B86877">
            <w:pPr>
              <w:pStyle w:val="NOSBodyHeading"/>
              <w:numPr>
                <w:ilvl w:val="0"/>
                <w:numId w:val="17"/>
              </w:numPr>
              <w:spacing w:line="276" w:lineRule="auto"/>
              <w:rPr>
                <w:b w:val="0"/>
              </w:rPr>
            </w:pPr>
            <w:r>
              <w:rPr>
                <w:b w:val="0"/>
              </w:rPr>
              <w:t>p</w:t>
            </w:r>
            <w:r w:rsidR="00B86877">
              <w:rPr>
                <w:b w:val="0"/>
              </w:rPr>
              <w:t>repare your vessel correctly for transfer operations and brief those involved</w:t>
            </w:r>
          </w:p>
          <w:p w:rsidR="00B86877" w:rsidRPr="001B0A7B" w:rsidRDefault="004C5FA6" w:rsidP="00B86877">
            <w:pPr>
              <w:pStyle w:val="NOSBodyHeading"/>
              <w:numPr>
                <w:ilvl w:val="0"/>
                <w:numId w:val="17"/>
              </w:numPr>
              <w:spacing w:line="276" w:lineRule="auto"/>
              <w:rPr>
                <w:b w:val="0"/>
              </w:rPr>
            </w:pPr>
            <w:r>
              <w:rPr>
                <w:b w:val="0"/>
              </w:rPr>
              <w:t>a</w:t>
            </w:r>
            <w:r w:rsidR="00B86877">
              <w:rPr>
                <w:b w:val="0"/>
              </w:rPr>
              <w:t>ssist  emergency  service  personnel  to  transfer  the  casualty  safely,  responding correctly and promptly to questions and instructions</w:t>
            </w:r>
          </w:p>
          <w:p w:rsidR="00B86877" w:rsidRPr="001B0A7B" w:rsidRDefault="004C5FA6" w:rsidP="00B86877">
            <w:pPr>
              <w:pStyle w:val="NOSBodyHeading"/>
              <w:numPr>
                <w:ilvl w:val="0"/>
                <w:numId w:val="17"/>
              </w:numPr>
              <w:spacing w:line="276" w:lineRule="auto"/>
              <w:rPr>
                <w:b w:val="0"/>
              </w:rPr>
            </w:pPr>
            <w:r>
              <w:rPr>
                <w:b w:val="0"/>
              </w:rPr>
              <w:t>u</w:t>
            </w:r>
            <w:r w:rsidR="00B86877">
              <w:rPr>
                <w:b w:val="0"/>
              </w:rPr>
              <w:t>se language that is concise, accurate and unambiguous</w:t>
            </w:r>
          </w:p>
          <w:p w:rsidR="00B86877" w:rsidRPr="001B0A7B" w:rsidRDefault="004C5FA6" w:rsidP="00B86877">
            <w:pPr>
              <w:pStyle w:val="NOSBodyHeading"/>
              <w:numPr>
                <w:ilvl w:val="0"/>
                <w:numId w:val="17"/>
              </w:numPr>
              <w:spacing w:line="276" w:lineRule="auto"/>
              <w:rPr>
                <w:b w:val="0"/>
              </w:rPr>
            </w:pPr>
            <w:r>
              <w:rPr>
                <w:b w:val="0"/>
              </w:rPr>
              <w:t>r</w:t>
            </w:r>
            <w:r w:rsidR="00B86877">
              <w:rPr>
                <w:b w:val="0"/>
              </w:rPr>
              <w:t>ecover, stow and secure any rescue equipment used safely and correctly</w:t>
            </w:r>
          </w:p>
          <w:p w:rsidR="003C6D88" w:rsidRPr="001B0A7B" w:rsidRDefault="003C6D88" w:rsidP="004C5FA6">
            <w:pPr>
              <w:pStyle w:val="NOSBodyHeading"/>
              <w:spacing w:line="276" w:lineRule="auto"/>
              <w:ind w:left="567"/>
              <w:rPr>
                <w:b w:val="0"/>
              </w:rPr>
            </w:pP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126DE6"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FB509E" w:rsidRDefault="00FB509E" w:rsidP="00FB509E">
            <w:pPr>
              <w:pStyle w:val="NOSBodyHeading"/>
              <w:spacing w:line="276" w:lineRule="auto"/>
              <w:rPr>
                <w:rFonts w:cs="Arial"/>
                <w:b w:val="0"/>
              </w:rPr>
            </w:pPr>
            <w:bookmarkStart w:id="7" w:name="StartKnowledge"/>
            <w:bookmarkEnd w:id="7"/>
          </w:p>
          <w:p w:rsidR="00FB509E" w:rsidRDefault="00FB509E" w:rsidP="00FB509E">
            <w:pPr>
              <w:pStyle w:val="NOSBodyHeading"/>
              <w:spacing w:line="276" w:lineRule="auto"/>
              <w:rPr>
                <w:b w:val="0"/>
              </w:rPr>
            </w:pPr>
          </w:p>
          <w:p w:rsidR="00FB509E" w:rsidRDefault="00FB509E" w:rsidP="00FB509E">
            <w:pPr>
              <w:pStyle w:val="NOSBodyHeading"/>
              <w:spacing w:line="276" w:lineRule="auto"/>
              <w:rPr>
                <w:b w:val="0"/>
              </w:rPr>
            </w:pPr>
          </w:p>
          <w:p w:rsidR="00FB509E" w:rsidRPr="001B0A7B" w:rsidRDefault="004C5FA6" w:rsidP="00FB509E">
            <w:pPr>
              <w:pStyle w:val="NOSBodyHeading"/>
              <w:numPr>
                <w:ilvl w:val="0"/>
                <w:numId w:val="18"/>
              </w:numPr>
              <w:spacing w:line="276" w:lineRule="auto"/>
              <w:rPr>
                <w:b w:val="0"/>
              </w:rPr>
            </w:pPr>
            <w:r>
              <w:rPr>
                <w:b w:val="0"/>
              </w:rPr>
              <w:t>t</w:t>
            </w:r>
            <w:r w:rsidR="00FB509E">
              <w:rPr>
                <w:b w:val="0"/>
              </w:rPr>
              <w:t>he types of incident that may occur requiring search and rescue operations</w:t>
            </w:r>
          </w:p>
          <w:p w:rsidR="00FB509E" w:rsidRPr="001B0A7B" w:rsidRDefault="004C5FA6" w:rsidP="00FB509E">
            <w:pPr>
              <w:pStyle w:val="NOSBodyHeading"/>
              <w:numPr>
                <w:ilvl w:val="0"/>
                <w:numId w:val="18"/>
              </w:numPr>
              <w:spacing w:line="276" w:lineRule="auto"/>
              <w:rPr>
                <w:b w:val="0"/>
              </w:rPr>
            </w:pPr>
            <w:r>
              <w:rPr>
                <w:b w:val="0"/>
              </w:rPr>
              <w:t>s</w:t>
            </w:r>
            <w:r w:rsidR="00FB509E">
              <w:rPr>
                <w:b w:val="0"/>
              </w:rPr>
              <w:t>ources and procedures for confirming the identify of a casualty and the nature of any injuries</w:t>
            </w:r>
          </w:p>
          <w:p w:rsidR="00FB509E" w:rsidRPr="001B0A7B" w:rsidRDefault="004C5FA6" w:rsidP="00FB509E">
            <w:pPr>
              <w:pStyle w:val="NOSBodyHeading"/>
              <w:numPr>
                <w:ilvl w:val="0"/>
                <w:numId w:val="18"/>
              </w:numPr>
              <w:spacing w:line="276" w:lineRule="auto"/>
              <w:rPr>
                <w:b w:val="0"/>
              </w:rPr>
            </w:pPr>
            <w:r>
              <w:rPr>
                <w:b w:val="0"/>
              </w:rPr>
              <w:t>d</w:t>
            </w:r>
            <w:r w:rsidR="00FB509E">
              <w:rPr>
                <w:b w:val="0"/>
              </w:rPr>
              <w:t>ifferent types of recovery plan and the circumstances when these might be used and why</w:t>
            </w:r>
          </w:p>
          <w:p w:rsidR="00FB509E" w:rsidRPr="001B0A7B" w:rsidRDefault="004C5FA6" w:rsidP="00FB509E">
            <w:pPr>
              <w:pStyle w:val="NOSBodyHeading"/>
              <w:numPr>
                <w:ilvl w:val="0"/>
                <w:numId w:val="18"/>
              </w:numPr>
              <w:spacing w:line="276" w:lineRule="auto"/>
              <w:rPr>
                <w:b w:val="0"/>
              </w:rPr>
            </w:pPr>
            <w:r>
              <w:rPr>
                <w:b w:val="0"/>
              </w:rPr>
              <w:t>t</w:t>
            </w:r>
            <w:r w:rsidR="00FB509E">
              <w:rPr>
                <w:b w:val="0"/>
              </w:rPr>
              <w:t>he factors to take into account when recovering casualties, and when preparing to deploy relevant rescue equipment, including the weather conditions and the condition of the casualty</w:t>
            </w:r>
          </w:p>
          <w:p w:rsidR="00FB509E" w:rsidRPr="001B0A7B" w:rsidRDefault="004C5FA6" w:rsidP="00FB509E">
            <w:pPr>
              <w:pStyle w:val="NOSBodyHeading"/>
              <w:numPr>
                <w:ilvl w:val="0"/>
                <w:numId w:val="18"/>
              </w:numPr>
              <w:spacing w:line="276" w:lineRule="auto"/>
              <w:rPr>
                <w:b w:val="0"/>
              </w:rPr>
            </w:pPr>
            <w:r>
              <w:rPr>
                <w:b w:val="0"/>
              </w:rPr>
              <w:t>t</w:t>
            </w:r>
            <w:r w:rsidR="00FB509E">
              <w:rPr>
                <w:b w:val="0"/>
              </w:rPr>
              <w:t>he various parts of relevant rescue equipment and their purpose</w:t>
            </w:r>
          </w:p>
          <w:p w:rsidR="00FB509E" w:rsidRPr="001B0A7B" w:rsidRDefault="004C5FA6" w:rsidP="00FB509E">
            <w:pPr>
              <w:pStyle w:val="NOSBodyHeading"/>
              <w:numPr>
                <w:ilvl w:val="0"/>
                <w:numId w:val="18"/>
              </w:numPr>
              <w:spacing w:line="276" w:lineRule="auto"/>
              <w:rPr>
                <w:b w:val="0"/>
              </w:rPr>
            </w:pPr>
            <w:r>
              <w:rPr>
                <w:b w:val="0"/>
              </w:rPr>
              <w:t>s</w:t>
            </w:r>
            <w:r w:rsidR="00FB509E">
              <w:rPr>
                <w:b w:val="0"/>
              </w:rPr>
              <w:t>afe  working  practices  in  the  deployment,  use  and  recovery  of  relevant  rescue equipment</w:t>
            </w:r>
          </w:p>
          <w:p w:rsidR="00FB509E" w:rsidRPr="001B0A7B" w:rsidRDefault="004C5FA6" w:rsidP="00FB509E">
            <w:pPr>
              <w:pStyle w:val="NOSBodyHeading"/>
              <w:numPr>
                <w:ilvl w:val="0"/>
                <w:numId w:val="18"/>
              </w:numPr>
              <w:spacing w:line="276" w:lineRule="auto"/>
              <w:rPr>
                <w:b w:val="0"/>
              </w:rPr>
            </w:pPr>
            <w:r>
              <w:rPr>
                <w:b w:val="0"/>
              </w:rPr>
              <w:t>t</w:t>
            </w:r>
            <w:r w:rsidR="00FB509E">
              <w:rPr>
                <w:b w:val="0"/>
              </w:rPr>
              <w:t>ypes of hazard that need to be considered when recovering casualties, including hazards affecting the vessel, crew, the casualty and the deployment of relevant rescue equipment, and methods of minimising the different hazards</w:t>
            </w:r>
          </w:p>
          <w:p w:rsidR="00FB509E" w:rsidRPr="001B0A7B" w:rsidRDefault="004C5FA6" w:rsidP="00FB509E">
            <w:pPr>
              <w:pStyle w:val="NOSBodyHeading"/>
              <w:numPr>
                <w:ilvl w:val="0"/>
                <w:numId w:val="18"/>
              </w:numPr>
              <w:spacing w:line="276" w:lineRule="auto"/>
              <w:rPr>
                <w:b w:val="0"/>
              </w:rPr>
            </w:pPr>
            <w:r>
              <w:rPr>
                <w:b w:val="0"/>
              </w:rPr>
              <w:t>m</w:t>
            </w:r>
            <w:r w:rsidR="00FB509E">
              <w:rPr>
                <w:b w:val="0"/>
              </w:rPr>
              <w:t>ethods for assessing the condition of casualties when they have been recovered</w:t>
            </w:r>
          </w:p>
          <w:p w:rsidR="00FB509E" w:rsidRPr="001B0A7B" w:rsidRDefault="004C5FA6" w:rsidP="00FB509E">
            <w:pPr>
              <w:pStyle w:val="NOSBodyHeading"/>
              <w:numPr>
                <w:ilvl w:val="0"/>
                <w:numId w:val="18"/>
              </w:numPr>
              <w:spacing w:line="276" w:lineRule="auto"/>
              <w:rPr>
                <w:b w:val="0"/>
              </w:rPr>
            </w:pPr>
            <w:r>
              <w:rPr>
                <w:b w:val="0"/>
              </w:rPr>
              <w:t>m</w:t>
            </w:r>
            <w:r w:rsidR="00FB509E">
              <w:rPr>
                <w:b w:val="0"/>
              </w:rPr>
              <w:t xml:space="preserve">ethods for securing casualties </w:t>
            </w:r>
            <w:r w:rsidR="0054565A">
              <w:rPr>
                <w:b w:val="0"/>
              </w:rPr>
              <w:t xml:space="preserve"> in order to </w:t>
            </w:r>
            <w:r w:rsidR="00FB509E">
              <w:rPr>
                <w:b w:val="0"/>
              </w:rPr>
              <w:t xml:space="preserve"> ensur</w:t>
            </w:r>
            <w:r w:rsidR="0054565A">
              <w:rPr>
                <w:b w:val="0"/>
              </w:rPr>
              <w:t>e</w:t>
            </w:r>
            <w:r w:rsidR="00FB509E">
              <w:rPr>
                <w:b w:val="0"/>
              </w:rPr>
              <w:t xml:space="preserve"> their safe transportation</w:t>
            </w:r>
          </w:p>
          <w:p w:rsidR="00FB509E" w:rsidRPr="001B0A7B" w:rsidRDefault="004C5FA6" w:rsidP="00FB509E">
            <w:pPr>
              <w:pStyle w:val="NOSBodyHeading"/>
              <w:numPr>
                <w:ilvl w:val="0"/>
                <w:numId w:val="18"/>
              </w:numPr>
              <w:spacing w:line="276" w:lineRule="auto"/>
              <w:rPr>
                <w:b w:val="0"/>
              </w:rPr>
            </w:pPr>
            <w:r>
              <w:rPr>
                <w:b w:val="0"/>
              </w:rPr>
              <w:t>t</w:t>
            </w:r>
            <w:r w:rsidR="00FB509E">
              <w:rPr>
                <w:b w:val="0"/>
              </w:rPr>
              <w:t>he  different  agencies  to  which  casualties  can  be  transferred,  and  which  are appropriate to different situations</w:t>
            </w:r>
          </w:p>
          <w:p w:rsidR="00FB509E" w:rsidRPr="001B0A7B" w:rsidRDefault="004C5FA6" w:rsidP="00FB509E">
            <w:pPr>
              <w:pStyle w:val="NOSBodyHeading"/>
              <w:numPr>
                <w:ilvl w:val="0"/>
                <w:numId w:val="18"/>
              </w:numPr>
              <w:spacing w:line="276" w:lineRule="auto"/>
              <w:rPr>
                <w:b w:val="0"/>
              </w:rPr>
            </w:pPr>
            <w:r>
              <w:rPr>
                <w:b w:val="0"/>
              </w:rPr>
              <w:t>s</w:t>
            </w:r>
            <w:r w:rsidR="00FB509E">
              <w:rPr>
                <w:b w:val="0"/>
              </w:rPr>
              <w:t>afe working practices and procedures when transferring casualties from your vessel to another agency</w:t>
            </w:r>
          </w:p>
          <w:p w:rsidR="00FB509E" w:rsidRPr="001B0A7B" w:rsidRDefault="004C5FA6" w:rsidP="00FB509E">
            <w:pPr>
              <w:pStyle w:val="NOSBodyHeading"/>
              <w:numPr>
                <w:ilvl w:val="0"/>
                <w:numId w:val="18"/>
              </w:numPr>
              <w:spacing w:line="276" w:lineRule="auto"/>
              <w:rPr>
                <w:b w:val="0"/>
              </w:rPr>
            </w:pPr>
            <w:r>
              <w:rPr>
                <w:b w:val="0"/>
              </w:rPr>
              <w:t>t</w:t>
            </w:r>
            <w:r w:rsidR="00FB509E">
              <w:rPr>
                <w:b w:val="0"/>
              </w:rPr>
              <w:t>he information required by other agencies when transferring casualties, and how to provide this</w:t>
            </w:r>
          </w:p>
          <w:p w:rsidR="00FB509E" w:rsidRPr="001B0A7B" w:rsidRDefault="004C5FA6" w:rsidP="00FB509E">
            <w:pPr>
              <w:pStyle w:val="NOSBodyHeading"/>
              <w:numPr>
                <w:ilvl w:val="0"/>
                <w:numId w:val="18"/>
              </w:numPr>
              <w:spacing w:line="276" w:lineRule="auto"/>
              <w:rPr>
                <w:b w:val="0"/>
              </w:rPr>
            </w:pPr>
            <w:r>
              <w:rPr>
                <w:b w:val="0"/>
              </w:rPr>
              <w:t>t</w:t>
            </w:r>
            <w:r w:rsidR="00FB509E">
              <w:rPr>
                <w:b w:val="0"/>
              </w:rPr>
              <w:t>he factors to take into account when transferring casualties, including the weather conditions and the condition of the casualty</w:t>
            </w:r>
          </w:p>
          <w:p w:rsidR="00006091" w:rsidRPr="001B0A7B" w:rsidRDefault="004C5FA6" w:rsidP="00FB509E">
            <w:pPr>
              <w:pStyle w:val="NOSBodyHeading"/>
              <w:numPr>
                <w:ilvl w:val="0"/>
                <w:numId w:val="18"/>
              </w:numPr>
              <w:spacing w:line="276" w:lineRule="auto"/>
              <w:rPr>
                <w:b w:val="0"/>
              </w:rPr>
            </w:pPr>
            <w:r>
              <w:rPr>
                <w:b w:val="0"/>
              </w:rPr>
              <w:t>p</w:t>
            </w:r>
            <w:r w:rsidR="00FB509E">
              <w:rPr>
                <w:b w:val="0"/>
              </w:rPr>
              <w:t>otential hazards that might occur when transferring casualties from your vessel, including those that might arise during transfers at night, and the actions appropriate to minimising or eliminating associated risks</w:t>
            </w: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4C5FA6"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126DE6"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4C5FA6"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126DE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4E49A8" w:rsidP="001F6BF7">
            <w:pPr>
              <w:pStyle w:val="NOSBodyText"/>
              <w:rPr>
                <w:color w:val="221E1F"/>
              </w:rPr>
            </w:pPr>
            <w:bookmarkStart w:id="13" w:name="StartApproved"/>
            <w:bookmarkEnd w:id="13"/>
            <w:proofErr w:type="spellStart"/>
            <w:r>
              <w:rPr>
                <w:color w:val="221E1F"/>
              </w:rPr>
              <w:t>Janaury</w:t>
            </w:r>
            <w:proofErr w:type="spellEnd"/>
            <w:r>
              <w:rPr>
                <w:color w:val="221E1F"/>
              </w:rPr>
              <w:t xml:space="preserve">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126DE6"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4E49A8" w:rsidP="00690067">
            <w:pPr>
              <w:pStyle w:val="NOSBodyText"/>
              <w:rPr>
                <w:rStyle w:val="A3"/>
              </w:rPr>
            </w:pPr>
            <w:bookmarkStart w:id="15" w:name="StartReview"/>
            <w:bookmarkEnd w:id="15"/>
            <w:r>
              <w:rPr>
                <w:rStyle w:val="A3"/>
              </w:rPr>
              <w:t>December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126DE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EB33CA"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126DE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EB33CA"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126DE6"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4C5FA6"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126DE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4E49A8" w:rsidP="001F6BF7">
            <w:pPr>
              <w:pStyle w:val="NOSBodyText"/>
              <w:rPr>
                <w:color w:val="221E1F"/>
              </w:rPr>
            </w:pPr>
            <w:bookmarkStart w:id="23" w:name="StartOriginURN"/>
            <w:bookmarkEnd w:id="23"/>
            <w:r>
              <w:rPr>
                <w:color w:val="221E1F"/>
              </w:rPr>
              <w:t>MSA A43</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126DE6"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EB33CA" w:rsidP="001F6BF7">
            <w:pPr>
              <w:pStyle w:val="NOSBodyText"/>
              <w:rPr>
                <w:color w:val="221E1F"/>
              </w:rPr>
            </w:pPr>
            <w:bookmarkStart w:id="25" w:name="StartOccupations"/>
            <w:bookmarkEnd w:id="25"/>
            <w:r>
              <w:rPr>
                <w:color w:val="221E1F"/>
              </w:rPr>
              <w:t>Transportation operations and maintenance; Managers in Distribution, Storage and Retailing; Transport Associate Professionals</w:t>
            </w:r>
          </w:p>
          <w:p w:rsidR="008A2610" w:rsidRPr="004E05F7" w:rsidRDefault="008A2610" w:rsidP="001F6BF7">
            <w:pPr>
              <w:pStyle w:val="NOSBodyText"/>
              <w:rPr>
                <w:color w:val="221E1F"/>
              </w:rPr>
            </w:pPr>
            <w:bookmarkStart w:id="26" w:name="EndOccupations"/>
            <w:bookmarkEnd w:id="26"/>
          </w:p>
        </w:tc>
      </w:tr>
      <w:tr w:rsidR="0052780A" w:rsidRPr="00CF4D98" w:rsidTr="00690067">
        <w:tc>
          <w:tcPr>
            <w:tcW w:w="2518" w:type="dxa"/>
          </w:tcPr>
          <w:p w:rsidR="0052780A" w:rsidRPr="004E05F7" w:rsidRDefault="00126DE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15662A" w:rsidP="001F6BF7">
            <w:pPr>
              <w:pStyle w:val="NOSBodyText"/>
              <w:rPr>
                <w:color w:val="221E1F"/>
              </w:rPr>
            </w:pPr>
            <w:bookmarkStart w:id="27" w:name="StartSuite"/>
            <w:bookmarkEnd w:id="27"/>
            <w:r>
              <w:rPr>
                <w:color w:val="221E1F"/>
              </w:rPr>
              <w:t>Maritime</w:t>
            </w:r>
          </w:p>
          <w:p w:rsidR="001F6BF7" w:rsidRPr="004E05F7" w:rsidRDefault="001F6BF7" w:rsidP="001F6BF7">
            <w:pPr>
              <w:pStyle w:val="NOSBodyText"/>
              <w:rPr>
                <w:color w:val="221E1F"/>
              </w:rPr>
            </w:pPr>
            <w:bookmarkStart w:id="28" w:name="EndSuite"/>
            <w:bookmarkEnd w:id="28"/>
          </w:p>
        </w:tc>
      </w:tr>
      <w:tr w:rsidR="0052780A" w:rsidRPr="00CF4D98" w:rsidTr="00690067">
        <w:tc>
          <w:tcPr>
            <w:tcW w:w="2518" w:type="dxa"/>
          </w:tcPr>
          <w:p w:rsidR="0052780A" w:rsidRPr="004E05F7" w:rsidRDefault="00126DE6"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EB33CA" w:rsidP="00690067">
            <w:pPr>
              <w:pStyle w:val="NOSBodyText"/>
              <w:rPr>
                <w:color w:val="221E1F"/>
              </w:rPr>
            </w:pPr>
            <w:bookmarkStart w:id="29" w:name="StartKeywords"/>
            <w:bookmarkEnd w:id="29"/>
            <w:r>
              <w:rPr>
                <w:color w:val="221E1F"/>
              </w:rPr>
              <w:t>marine, casual, locate, recover, transfer</w:t>
            </w:r>
          </w:p>
          <w:p w:rsidR="0052780A" w:rsidRPr="004E05F7" w:rsidRDefault="0052780A" w:rsidP="00690067">
            <w:pPr>
              <w:pStyle w:val="NOSBodyText"/>
              <w:rPr>
                <w:color w:val="221E1F"/>
              </w:rPr>
            </w:pPr>
            <w:bookmarkStart w:id="30" w:name="EndKeywords"/>
            <w:bookmarkEnd w:id="30"/>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4E49A8" w:rsidP="009F7CB5">
    <w:pPr>
      <w:pStyle w:val="Footer"/>
      <w:tabs>
        <w:tab w:val="left" w:pos="1200"/>
        <w:tab w:val="right" w:pos="10206"/>
      </w:tabs>
      <w:rPr>
        <w:sz w:val="18"/>
        <w:szCs w:val="18"/>
      </w:rPr>
    </w:pPr>
    <w:r w:rsidRPr="004E49A8">
      <w:rPr>
        <w:rFonts w:ascii="Arial" w:eastAsiaTheme="minorHAnsi" w:hAnsi="Arial" w:cs="Arial"/>
        <w:noProof/>
        <w:sz w:val="14"/>
        <w:szCs w:val="14"/>
      </w:rPr>
      <w:t>MSA A43</w:t>
    </w:r>
    <w:r>
      <w:rPr>
        <w:rFonts w:ascii="Arial" w:eastAsiaTheme="minorHAnsi" w:hAnsi="Arial" w:cs="Arial"/>
        <w:noProof/>
        <w:sz w:val="14"/>
        <w:szCs w:val="14"/>
      </w:rPr>
      <w:t xml:space="preserve"> </w:t>
    </w:r>
    <w:r w:rsidRPr="004E49A8">
      <w:rPr>
        <w:rFonts w:ascii="Arial" w:eastAsiaTheme="minorHAnsi" w:hAnsi="Arial" w:cs="Arial"/>
        <w:noProof/>
        <w:sz w:val="14"/>
        <w:szCs w:val="14"/>
      </w:rPr>
      <w:t>Locate, recover and transfer casualties in a marine environment</w:t>
    </w:r>
    <w:r w:rsidR="009F7CB5">
      <w:rPr>
        <w:sz w:val="18"/>
        <w:szCs w:val="18"/>
      </w:rPr>
      <w:tab/>
    </w:r>
    <w:r w:rsidR="009F7CB5">
      <w:rPr>
        <w:sz w:val="18"/>
        <w:szCs w:val="18"/>
      </w:rPr>
      <w:tab/>
    </w:r>
    <w:r w:rsidR="009F7CB5">
      <w:rPr>
        <w:sz w:val="18"/>
        <w:szCs w:val="18"/>
      </w:rPr>
      <w:tab/>
    </w:r>
    <w:r w:rsidR="00126DE6"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126DE6" w:rsidRPr="008C0064">
      <w:rPr>
        <w:rFonts w:ascii="Arial" w:hAnsi="Arial" w:cs="Arial"/>
        <w:sz w:val="14"/>
        <w:szCs w:val="14"/>
      </w:rPr>
      <w:fldChar w:fldCharType="separate"/>
    </w:r>
    <w:r w:rsidR="00330AF0">
      <w:rPr>
        <w:rFonts w:ascii="Arial" w:hAnsi="Arial" w:cs="Arial"/>
        <w:noProof/>
        <w:sz w:val="14"/>
        <w:szCs w:val="14"/>
      </w:rPr>
      <w:t>4</w:t>
    </w:r>
    <w:r w:rsidR="00126DE6"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4E49A8" w:rsidP="0086259F">
    <w:pPr>
      <w:pStyle w:val="Footer"/>
      <w:tabs>
        <w:tab w:val="left" w:pos="1200"/>
        <w:tab w:val="right" w:pos="10206"/>
      </w:tabs>
      <w:rPr>
        <w:sz w:val="18"/>
        <w:szCs w:val="18"/>
      </w:rPr>
    </w:pPr>
    <w:r w:rsidRPr="004E49A8">
      <w:rPr>
        <w:rFonts w:ascii="Arial" w:eastAsiaTheme="minorHAnsi" w:hAnsi="Arial" w:cs="Arial"/>
        <w:noProof/>
        <w:sz w:val="14"/>
        <w:szCs w:val="14"/>
      </w:rPr>
      <w:t>MSA A43</w:t>
    </w:r>
    <w:r>
      <w:rPr>
        <w:rFonts w:ascii="Arial" w:eastAsiaTheme="minorHAnsi" w:hAnsi="Arial" w:cs="Arial"/>
        <w:noProof/>
        <w:sz w:val="14"/>
        <w:szCs w:val="14"/>
      </w:rPr>
      <w:t xml:space="preserve"> </w:t>
    </w:r>
    <w:r w:rsidRPr="004E49A8">
      <w:rPr>
        <w:rFonts w:ascii="Arial" w:eastAsiaTheme="minorHAnsi" w:hAnsi="Arial" w:cs="Arial"/>
        <w:noProof/>
        <w:sz w:val="14"/>
        <w:szCs w:val="14"/>
      </w:rPr>
      <w:t>Locate, recover and transfer casualties in a marine environment</w:t>
    </w:r>
    <w:r w:rsidR="004323FE">
      <w:rPr>
        <w:sz w:val="18"/>
        <w:szCs w:val="18"/>
      </w:rPr>
      <w:tab/>
    </w:r>
    <w:r w:rsidR="004323FE">
      <w:rPr>
        <w:sz w:val="18"/>
        <w:szCs w:val="18"/>
      </w:rPr>
      <w:tab/>
    </w:r>
    <w:r w:rsidR="004323FE">
      <w:rPr>
        <w:sz w:val="18"/>
        <w:szCs w:val="18"/>
      </w:rPr>
      <w:tab/>
    </w:r>
    <w:r w:rsidR="00126DE6"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126DE6" w:rsidRPr="008C0064">
      <w:rPr>
        <w:rFonts w:ascii="Arial" w:hAnsi="Arial" w:cs="Arial"/>
        <w:sz w:val="14"/>
        <w:szCs w:val="14"/>
      </w:rPr>
      <w:fldChar w:fldCharType="separate"/>
    </w:r>
    <w:r w:rsidR="00330AF0">
      <w:rPr>
        <w:rFonts w:ascii="Arial" w:hAnsi="Arial" w:cs="Arial"/>
        <w:noProof/>
        <w:sz w:val="14"/>
        <w:szCs w:val="14"/>
      </w:rPr>
      <w:t>1</w:t>
    </w:r>
    <w:r w:rsidR="00126DE6"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126DE6" w:rsidP="002063F2">
    <w:pPr>
      <w:tabs>
        <w:tab w:val="left" w:pos="7140"/>
      </w:tabs>
    </w:pPr>
    <w:r w:rsidRPr="00126DE6">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580843">
      <w:rPr>
        <w:rFonts w:ascii="Arial" w:eastAsiaTheme="minorHAnsi" w:hAnsi="Arial" w:cs="Arial"/>
        <w:b/>
        <w:noProof/>
        <w:sz w:val="32"/>
        <w:szCs w:val="32"/>
      </w:rPr>
      <w:t xml:space="preserve">MSA </w:t>
    </w:r>
    <w:r w:rsidR="004C5FA6">
      <w:rPr>
        <w:rFonts w:ascii="Arial" w:eastAsiaTheme="minorHAnsi" w:hAnsi="Arial" w:cs="Arial"/>
        <w:b/>
        <w:noProof/>
        <w:sz w:val="32"/>
        <w:szCs w:val="32"/>
      </w:rPr>
      <w:t>A43</w:t>
    </w:r>
    <w:r w:rsidR="002063F2" w:rsidRPr="003C6D88">
      <w:rPr>
        <w:rFonts w:eastAsiaTheme="minorHAnsi" w:cs="Courier New"/>
        <w:noProof/>
        <w:sz w:val="32"/>
        <w:szCs w:val="32"/>
      </w:rPr>
      <w:br/>
    </w:r>
    <w:r w:rsidR="00865307">
      <w:rPr>
        <w:rFonts w:ascii="Arial" w:eastAsiaTheme="minorHAnsi" w:hAnsi="Arial" w:cs="Arial"/>
        <w:noProof/>
        <w:sz w:val="32"/>
        <w:szCs w:val="32"/>
      </w:rPr>
      <w:t>Locate, recover and transfer casualties in a marine environment</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580843" w:rsidP="009A1F82">
          <w:pPr>
            <w:pStyle w:val="Header"/>
            <w:rPr>
              <w:rFonts w:ascii="Arial" w:hAnsi="Arial" w:cs="Arial"/>
              <w:b/>
              <w:sz w:val="32"/>
              <w:szCs w:val="32"/>
            </w:rPr>
          </w:pPr>
          <w:r>
            <w:rPr>
              <w:rFonts w:ascii="Arial" w:hAnsi="Arial" w:cs="Arial"/>
              <w:b/>
              <w:sz w:val="32"/>
              <w:szCs w:val="32"/>
            </w:rPr>
            <w:t xml:space="preserve">MSA </w:t>
          </w:r>
          <w:r w:rsidR="004C5FA6">
            <w:rPr>
              <w:rFonts w:ascii="Arial" w:hAnsi="Arial" w:cs="Arial"/>
              <w:b/>
              <w:sz w:val="32"/>
              <w:szCs w:val="32"/>
            </w:rPr>
            <w:t>A43</w:t>
          </w:r>
        </w:p>
        <w:p w:rsidR="009A1F82" w:rsidRPr="00DF70EE" w:rsidRDefault="00865307" w:rsidP="009A1F82">
          <w:pPr>
            <w:pStyle w:val="Header"/>
            <w:rPr>
              <w:rFonts w:ascii="Arial" w:hAnsi="Arial" w:cs="Arial"/>
            </w:rPr>
          </w:pPr>
          <w:r>
            <w:rPr>
              <w:rFonts w:ascii="Arial" w:hAnsi="Arial" w:cs="Arial"/>
              <w:sz w:val="32"/>
              <w:szCs w:val="32"/>
            </w:rPr>
            <w:t>Locate, recover and transfer casualties in a marine environment</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126DE6"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181E1F"/>
    <w:multiLevelType w:val="multilevel"/>
    <w:tmpl w:val="29225340"/>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41965DD"/>
    <w:multiLevelType w:val="multilevel"/>
    <w:tmpl w:val="26FAB02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C391B79"/>
    <w:multiLevelType w:val="multilevel"/>
    <w:tmpl w:val="7974C2BE"/>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0"/>
  </w:num>
  <w:num w:numId="3">
    <w:abstractNumId w:val="2"/>
  </w:num>
  <w:num w:numId="4">
    <w:abstractNumId w:val="1"/>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2"/>
  </w:num>
  <w:num w:numId="12">
    <w:abstractNumId w:val="9"/>
  </w:num>
  <w:num w:numId="13">
    <w:abstractNumId w:val="3"/>
  </w:num>
  <w:num w:numId="14">
    <w:abstractNumId w:val="11"/>
  </w:num>
  <w:num w:numId="15">
    <w:abstractNumId w:val="0"/>
  </w:num>
  <w:num w:numId="16">
    <w:abstractNumId w:val="7"/>
  </w:num>
  <w:num w:numId="17">
    <w:abstractNumId w:val="4"/>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26C51"/>
    <w:rsid w:val="0003177B"/>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22368"/>
    <w:rsid w:val="00126DE6"/>
    <w:rsid w:val="0013639C"/>
    <w:rsid w:val="0015662A"/>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067D9"/>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06FD7"/>
    <w:rsid w:val="00310CA1"/>
    <w:rsid w:val="00320442"/>
    <w:rsid w:val="00325B51"/>
    <w:rsid w:val="00330AF0"/>
    <w:rsid w:val="003319D1"/>
    <w:rsid w:val="00345B06"/>
    <w:rsid w:val="003521D1"/>
    <w:rsid w:val="0036118B"/>
    <w:rsid w:val="003722CD"/>
    <w:rsid w:val="00377DED"/>
    <w:rsid w:val="00380447"/>
    <w:rsid w:val="0038735C"/>
    <w:rsid w:val="00387C8A"/>
    <w:rsid w:val="003B59D6"/>
    <w:rsid w:val="003B7932"/>
    <w:rsid w:val="003C4768"/>
    <w:rsid w:val="003C6D88"/>
    <w:rsid w:val="003D3486"/>
    <w:rsid w:val="003D524D"/>
    <w:rsid w:val="003D7EF3"/>
    <w:rsid w:val="003E2694"/>
    <w:rsid w:val="003F7686"/>
    <w:rsid w:val="00401539"/>
    <w:rsid w:val="004103D1"/>
    <w:rsid w:val="0041273C"/>
    <w:rsid w:val="00414C13"/>
    <w:rsid w:val="00414F85"/>
    <w:rsid w:val="004156D8"/>
    <w:rsid w:val="004228B1"/>
    <w:rsid w:val="00431135"/>
    <w:rsid w:val="00431CA1"/>
    <w:rsid w:val="004322D1"/>
    <w:rsid w:val="004323FE"/>
    <w:rsid w:val="00436586"/>
    <w:rsid w:val="004375BF"/>
    <w:rsid w:val="00447016"/>
    <w:rsid w:val="00451CC3"/>
    <w:rsid w:val="00460BF6"/>
    <w:rsid w:val="00467D6A"/>
    <w:rsid w:val="00474BDB"/>
    <w:rsid w:val="004901D8"/>
    <w:rsid w:val="00491F62"/>
    <w:rsid w:val="004971C9"/>
    <w:rsid w:val="00497C87"/>
    <w:rsid w:val="004A57E2"/>
    <w:rsid w:val="004B12F4"/>
    <w:rsid w:val="004B1702"/>
    <w:rsid w:val="004C5FA6"/>
    <w:rsid w:val="004D08DE"/>
    <w:rsid w:val="004D0EEB"/>
    <w:rsid w:val="004D1F3B"/>
    <w:rsid w:val="004D6960"/>
    <w:rsid w:val="004E21DC"/>
    <w:rsid w:val="004E49A8"/>
    <w:rsid w:val="0050084C"/>
    <w:rsid w:val="005027E6"/>
    <w:rsid w:val="005073D4"/>
    <w:rsid w:val="00515426"/>
    <w:rsid w:val="00521BFC"/>
    <w:rsid w:val="0052780A"/>
    <w:rsid w:val="00540315"/>
    <w:rsid w:val="00540609"/>
    <w:rsid w:val="0054565A"/>
    <w:rsid w:val="00545BAC"/>
    <w:rsid w:val="00550971"/>
    <w:rsid w:val="00556342"/>
    <w:rsid w:val="00563006"/>
    <w:rsid w:val="00563BF7"/>
    <w:rsid w:val="00580843"/>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425B"/>
    <w:rsid w:val="00647493"/>
    <w:rsid w:val="006505B2"/>
    <w:rsid w:val="006518E1"/>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946F1"/>
    <w:rsid w:val="007A13ED"/>
    <w:rsid w:val="007A75C6"/>
    <w:rsid w:val="007B0672"/>
    <w:rsid w:val="007C232F"/>
    <w:rsid w:val="007C7DC5"/>
    <w:rsid w:val="007D3CB0"/>
    <w:rsid w:val="007D52B7"/>
    <w:rsid w:val="007E7D16"/>
    <w:rsid w:val="0082306F"/>
    <w:rsid w:val="00823628"/>
    <w:rsid w:val="0084302D"/>
    <w:rsid w:val="00847EA7"/>
    <w:rsid w:val="008601C1"/>
    <w:rsid w:val="00860755"/>
    <w:rsid w:val="008616C3"/>
    <w:rsid w:val="0086259F"/>
    <w:rsid w:val="00862792"/>
    <w:rsid w:val="008642AB"/>
    <w:rsid w:val="00865307"/>
    <w:rsid w:val="00866606"/>
    <w:rsid w:val="008829A1"/>
    <w:rsid w:val="00886A13"/>
    <w:rsid w:val="0089143B"/>
    <w:rsid w:val="00892883"/>
    <w:rsid w:val="00892EB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4A22"/>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2650"/>
    <w:rsid w:val="00A560A0"/>
    <w:rsid w:val="00A664B3"/>
    <w:rsid w:val="00A73B2E"/>
    <w:rsid w:val="00A910A6"/>
    <w:rsid w:val="00A92AB5"/>
    <w:rsid w:val="00A9731F"/>
    <w:rsid w:val="00AA411C"/>
    <w:rsid w:val="00AB493E"/>
    <w:rsid w:val="00AB7B1B"/>
    <w:rsid w:val="00AC5EE5"/>
    <w:rsid w:val="00AE57EF"/>
    <w:rsid w:val="00B15A0B"/>
    <w:rsid w:val="00B165CE"/>
    <w:rsid w:val="00B4020E"/>
    <w:rsid w:val="00B410B6"/>
    <w:rsid w:val="00B51DAF"/>
    <w:rsid w:val="00B5446B"/>
    <w:rsid w:val="00B652FB"/>
    <w:rsid w:val="00B73F65"/>
    <w:rsid w:val="00B82F94"/>
    <w:rsid w:val="00B86877"/>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187C"/>
    <w:rsid w:val="00DD4972"/>
    <w:rsid w:val="00DD6775"/>
    <w:rsid w:val="00DE2894"/>
    <w:rsid w:val="00DE55C1"/>
    <w:rsid w:val="00DF4BC7"/>
    <w:rsid w:val="00DF70EE"/>
    <w:rsid w:val="00E01504"/>
    <w:rsid w:val="00E06A72"/>
    <w:rsid w:val="00E1299D"/>
    <w:rsid w:val="00E2189F"/>
    <w:rsid w:val="00E23877"/>
    <w:rsid w:val="00E27661"/>
    <w:rsid w:val="00E30B15"/>
    <w:rsid w:val="00E32613"/>
    <w:rsid w:val="00E569AA"/>
    <w:rsid w:val="00E664BC"/>
    <w:rsid w:val="00E66529"/>
    <w:rsid w:val="00E80A62"/>
    <w:rsid w:val="00EB33CA"/>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1062"/>
    <w:rsid w:val="00F656FD"/>
    <w:rsid w:val="00F72712"/>
    <w:rsid w:val="00F751C9"/>
    <w:rsid w:val="00F75610"/>
    <w:rsid w:val="00F83C96"/>
    <w:rsid w:val="00F90C6C"/>
    <w:rsid w:val="00F90E29"/>
    <w:rsid w:val="00F96AF3"/>
    <w:rsid w:val="00FA164F"/>
    <w:rsid w:val="00FB3A0A"/>
    <w:rsid w:val="00FB509E"/>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2"/>
        <o:r id="V:Rule14" type="connector" idref="#_x0000_s1048"/>
        <o:r id="V:Rule15" type="connector" idref="#_x0000_s1041"/>
        <o:r id="V:Rule16" type="connector" idref="#_x0000_s1039"/>
        <o:r id="V:Rule17" type="connector" idref="#_x0000_s1040"/>
        <o:r id="V:Rule18" type="connector" idref="#_x0000_s1047"/>
        <o:r id="V:Rule19" type="connector" idref="#_x0000_s1043"/>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54565A"/>
    <w:rPr>
      <w:sz w:val="16"/>
      <w:szCs w:val="16"/>
    </w:rPr>
  </w:style>
  <w:style w:type="paragraph" w:styleId="CommentText">
    <w:name w:val="annotation text"/>
    <w:basedOn w:val="Normal"/>
    <w:link w:val="CommentTextChar"/>
    <w:uiPriority w:val="99"/>
    <w:semiHidden/>
    <w:unhideWhenUsed/>
    <w:rsid w:val="0054565A"/>
    <w:pPr>
      <w:spacing w:line="240" w:lineRule="auto"/>
    </w:pPr>
    <w:rPr>
      <w:sz w:val="20"/>
      <w:szCs w:val="20"/>
    </w:rPr>
  </w:style>
  <w:style w:type="character" w:customStyle="1" w:styleId="CommentTextChar">
    <w:name w:val="Comment Text Char"/>
    <w:basedOn w:val="DefaultParagraphFont"/>
    <w:link w:val="CommentText"/>
    <w:uiPriority w:val="99"/>
    <w:semiHidden/>
    <w:rsid w:val="0054565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4565A"/>
    <w:rPr>
      <w:b/>
      <w:bCs/>
    </w:rPr>
  </w:style>
  <w:style w:type="character" w:customStyle="1" w:styleId="CommentSubjectChar">
    <w:name w:val="Comment Subject Char"/>
    <w:basedOn w:val="CommentTextChar"/>
    <w:link w:val="CommentSubject"/>
    <w:uiPriority w:val="99"/>
    <w:semiHidden/>
    <w:rsid w:val="0054565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82F70"/>
    <w:rsid w:val="002C46EF"/>
    <w:rsid w:val="003E734C"/>
    <w:rsid w:val="00401C66"/>
    <w:rsid w:val="00462417"/>
    <w:rsid w:val="004C35AA"/>
    <w:rsid w:val="005262F9"/>
    <w:rsid w:val="0053637E"/>
    <w:rsid w:val="00567979"/>
    <w:rsid w:val="005B7907"/>
    <w:rsid w:val="00691D82"/>
    <w:rsid w:val="006D37C5"/>
    <w:rsid w:val="00752FD9"/>
    <w:rsid w:val="0083763B"/>
    <w:rsid w:val="008777D8"/>
    <w:rsid w:val="008960EC"/>
    <w:rsid w:val="008B5E4D"/>
    <w:rsid w:val="008D4C04"/>
    <w:rsid w:val="009D0A55"/>
    <w:rsid w:val="00B37502"/>
    <w:rsid w:val="00C75C13"/>
    <w:rsid w:val="00C75D0B"/>
    <w:rsid w:val="00C844BE"/>
    <w:rsid w:val="00CE1085"/>
    <w:rsid w:val="00CE1C3C"/>
    <w:rsid w:val="00D81236"/>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E6CCE-BC2F-4871-B34A-F1F82BE7F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806D10DB-2333-472F-B3F1-24B0E47FD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5</cp:revision>
  <dcterms:created xsi:type="dcterms:W3CDTF">2011-10-13T08:47:00Z</dcterms:created>
  <dcterms:modified xsi:type="dcterms:W3CDTF">2012-02-23T13:40:00Z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