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642FD4"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127119" w:rsidRDefault="00127119" w:rsidP="00127119">
            <w:pPr>
              <w:pStyle w:val="NOSNumberList"/>
              <w:numPr>
                <w:ilvl w:val="0"/>
                <w:numId w:val="0"/>
              </w:numPr>
              <w:spacing w:line="276" w:lineRule="exact"/>
            </w:pPr>
            <w:bookmarkStart w:id="1" w:name="StartOverview"/>
            <w:bookmarkEnd w:id="1"/>
            <w:r>
              <w:t xml:space="preserve">This standard covers the competence required to implement policies for the safety of navigation in all conditions, including planning for contingencies, ensuring compliance with international standards concerning </w:t>
            </w:r>
            <w:proofErr w:type="spellStart"/>
            <w:r>
              <w:t>watchkeeping</w:t>
            </w:r>
            <w:proofErr w:type="spellEnd"/>
            <w:r>
              <w:t xml:space="preserve"> and navigation and providing navigational support, when required, to those responsible for producing and executing detailed operational plans. It also includes vessel handling in all conditions.</w:t>
            </w:r>
          </w:p>
          <w:p w:rsidR="00127119" w:rsidRDefault="00127119" w:rsidP="00127119">
            <w:pPr>
              <w:pStyle w:val="NOSNumberList"/>
              <w:numPr>
                <w:ilvl w:val="0"/>
                <w:numId w:val="0"/>
              </w:numPr>
              <w:spacing w:line="276" w:lineRule="exact"/>
            </w:pPr>
          </w:p>
          <w:p w:rsidR="002A0663" w:rsidRPr="002A0663" w:rsidRDefault="002A0663" w:rsidP="00127119">
            <w:pPr>
              <w:pStyle w:val="NOSNumberList"/>
              <w:numPr>
                <w:ilvl w:val="0"/>
                <w:numId w:val="0"/>
              </w:numPr>
              <w:spacing w:line="276" w:lineRule="exact"/>
              <w:rPr>
                <w:b/>
              </w:rPr>
            </w:pPr>
            <w:r>
              <w:rPr>
                <w:b/>
              </w:rPr>
              <w:t>Target Group</w:t>
            </w:r>
          </w:p>
          <w:p w:rsidR="00127119" w:rsidRDefault="00127119" w:rsidP="00127119">
            <w:pPr>
              <w:pStyle w:val="NOSNumberList"/>
              <w:numPr>
                <w:ilvl w:val="0"/>
                <w:numId w:val="0"/>
              </w:numPr>
              <w:spacing w:line="276" w:lineRule="exact"/>
            </w:pPr>
            <w:r>
              <w:t>This standard applies to individuals at the managerial level who have responsibility and control for navigating and handling any size vessel working in any operational</w:t>
            </w:r>
            <w:r w:rsidR="002A0663">
              <w:t xml:space="preserve"> area.</w:t>
            </w:r>
          </w:p>
          <w:p w:rsidR="00127119" w:rsidRDefault="00127119" w:rsidP="00127119">
            <w:pPr>
              <w:pStyle w:val="NOSNumberList"/>
              <w:numPr>
                <w:ilvl w:val="0"/>
                <w:numId w:val="0"/>
              </w:numPr>
              <w:spacing w:line="276" w:lineRule="exact"/>
            </w:pPr>
          </w:p>
          <w:p w:rsidR="00EE5D4B" w:rsidRDefault="00EE5D4B" w:rsidP="00127119">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642FD4"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F37991" w:rsidRDefault="00F37991" w:rsidP="00F37991">
            <w:pPr>
              <w:pStyle w:val="NOSBodyHeading"/>
              <w:spacing w:line="276" w:lineRule="auto"/>
              <w:rPr>
                <w:b w:val="0"/>
              </w:rPr>
            </w:pPr>
            <w:bookmarkStart w:id="4" w:name="StartPerformance"/>
            <w:bookmarkEnd w:id="4"/>
          </w:p>
          <w:p w:rsidR="00F37991" w:rsidRDefault="00F37991" w:rsidP="00F37991">
            <w:pPr>
              <w:pStyle w:val="NOSBodyHeading"/>
              <w:spacing w:line="276" w:lineRule="auto"/>
              <w:rPr>
                <w:b w:val="0"/>
              </w:rPr>
            </w:pPr>
          </w:p>
          <w:p w:rsidR="00F37991" w:rsidRDefault="00F37991" w:rsidP="00F37991">
            <w:pPr>
              <w:pStyle w:val="NOSBodyHeading"/>
              <w:spacing w:line="276" w:lineRule="auto"/>
              <w:rPr>
                <w:b w:val="0"/>
              </w:rPr>
            </w:pPr>
          </w:p>
          <w:p w:rsidR="00F37991" w:rsidRPr="001B0A7B" w:rsidRDefault="00937026" w:rsidP="00F37991">
            <w:pPr>
              <w:pStyle w:val="NOSBodyHeading"/>
              <w:numPr>
                <w:ilvl w:val="0"/>
                <w:numId w:val="17"/>
              </w:numPr>
              <w:spacing w:line="276" w:lineRule="auto"/>
              <w:rPr>
                <w:b w:val="0"/>
              </w:rPr>
            </w:pPr>
            <w:r>
              <w:rPr>
                <w:b w:val="0"/>
              </w:rPr>
              <w:t>d</w:t>
            </w:r>
            <w:r w:rsidR="00F37991">
              <w:rPr>
                <w:b w:val="0"/>
              </w:rPr>
              <w:t xml:space="preserve">etermine and maintain </w:t>
            </w:r>
            <w:proofErr w:type="spellStart"/>
            <w:r w:rsidR="00F37991">
              <w:rPr>
                <w:b w:val="0"/>
              </w:rPr>
              <w:t>watchkeeping</w:t>
            </w:r>
            <w:proofErr w:type="spellEnd"/>
            <w:r w:rsidR="00F37991">
              <w:rPr>
                <w:b w:val="0"/>
              </w:rPr>
              <w:t xml:space="preserve"> arrangements and procedures in compliance with international regulations and guidelines</w:t>
            </w:r>
          </w:p>
          <w:p w:rsidR="00F37991" w:rsidRPr="001B0A7B" w:rsidRDefault="00937026" w:rsidP="00F37991">
            <w:pPr>
              <w:pStyle w:val="NOSBodyHeading"/>
              <w:numPr>
                <w:ilvl w:val="0"/>
                <w:numId w:val="17"/>
              </w:numPr>
              <w:spacing w:line="276" w:lineRule="auto"/>
              <w:rPr>
                <w:b w:val="0"/>
              </w:rPr>
            </w:pPr>
            <w:r>
              <w:rPr>
                <w:b w:val="0"/>
              </w:rPr>
              <w:t>e</w:t>
            </w:r>
            <w:r w:rsidR="00F37991">
              <w:rPr>
                <w:b w:val="0"/>
              </w:rPr>
              <w:t>nsure the safety of navigation, protection of the marine environment and safety of the vessel and persons on board</w:t>
            </w:r>
          </w:p>
          <w:p w:rsidR="00F37991" w:rsidRPr="001B0A7B" w:rsidRDefault="00937026" w:rsidP="00F37991">
            <w:pPr>
              <w:pStyle w:val="NOSBodyHeading"/>
              <w:numPr>
                <w:ilvl w:val="0"/>
                <w:numId w:val="17"/>
              </w:numPr>
              <w:spacing w:line="276" w:lineRule="auto"/>
              <w:rPr>
                <w:b w:val="0"/>
              </w:rPr>
            </w:pPr>
            <w:r>
              <w:rPr>
                <w:b w:val="0"/>
              </w:rPr>
              <w:t>e</w:t>
            </w:r>
            <w:r w:rsidR="00F37991">
              <w:rPr>
                <w:b w:val="0"/>
              </w:rPr>
              <w:t>nsure that those providing detailed plans understand their roles and responsibilities in voyage and contingency planning</w:t>
            </w:r>
          </w:p>
          <w:p w:rsidR="00F37991" w:rsidRPr="001B0A7B" w:rsidRDefault="00937026" w:rsidP="00F37991">
            <w:pPr>
              <w:pStyle w:val="NOSBodyHeading"/>
              <w:numPr>
                <w:ilvl w:val="0"/>
                <w:numId w:val="17"/>
              </w:numPr>
              <w:spacing w:line="276" w:lineRule="auto"/>
              <w:rPr>
                <w:b w:val="0"/>
              </w:rPr>
            </w:pPr>
            <w:r>
              <w:rPr>
                <w:b w:val="0"/>
              </w:rPr>
              <w:t>c</w:t>
            </w:r>
            <w:r w:rsidR="00F37991">
              <w:rPr>
                <w:b w:val="0"/>
              </w:rPr>
              <w:t xml:space="preserve">learly define in night and standing orders the duties and responsibilities of </w:t>
            </w:r>
            <w:proofErr w:type="spellStart"/>
            <w:r w:rsidR="00F37991">
              <w:rPr>
                <w:b w:val="0"/>
              </w:rPr>
              <w:t>watchkeepers</w:t>
            </w:r>
            <w:proofErr w:type="spellEnd"/>
            <w:r w:rsidR="00F37991">
              <w:rPr>
                <w:b w:val="0"/>
              </w:rPr>
              <w:t xml:space="preserve"> and the circumstances requiring the Master's or Skipper's support on the bridge</w:t>
            </w:r>
          </w:p>
          <w:p w:rsidR="00F37991" w:rsidRPr="001B0A7B" w:rsidRDefault="00937026" w:rsidP="00F37991">
            <w:pPr>
              <w:pStyle w:val="NOSBodyHeading"/>
              <w:numPr>
                <w:ilvl w:val="0"/>
                <w:numId w:val="17"/>
              </w:numPr>
              <w:spacing w:line="276" w:lineRule="auto"/>
              <w:rPr>
                <w:b w:val="0"/>
              </w:rPr>
            </w:pPr>
            <w:r>
              <w:rPr>
                <w:b w:val="0"/>
              </w:rPr>
              <w:t>a</w:t>
            </w:r>
            <w:r w:rsidR="00F37991">
              <w:rPr>
                <w:b w:val="0"/>
              </w:rPr>
              <w:t>ccurately assess and evaluate the circumstances where Master's or Skipper's support is appropriate and provide the support when requested</w:t>
            </w:r>
          </w:p>
          <w:p w:rsidR="00F37991" w:rsidRPr="001B0A7B" w:rsidRDefault="00937026" w:rsidP="00F37991">
            <w:pPr>
              <w:pStyle w:val="NOSBodyHeading"/>
              <w:numPr>
                <w:ilvl w:val="0"/>
                <w:numId w:val="17"/>
              </w:numPr>
              <w:spacing w:line="276" w:lineRule="auto"/>
              <w:rPr>
                <w:b w:val="0"/>
              </w:rPr>
            </w:pPr>
            <w:r>
              <w:rPr>
                <w:b w:val="0"/>
              </w:rPr>
              <w:t>p</w:t>
            </w:r>
            <w:r w:rsidR="00F37991">
              <w:rPr>
                <w:b w:val="0"/>
              </w:rPr>
              <w:t>lan and conduct manoeuvres to maximise the safety of the vessel and crew using the vessel's manoeuvring characteristics to the best advantage during operations</w:t>
            </w:r>
          </w:p>
          <w:p w:rsidR="00F37991" w:rsidRPr="001B0A7B" w:rsidRDefault="00937026" w:rsidP="00F37991">
            <w:pPr>
              <w:pStyle w:val="NOSBodyHeading"/>
              <w:numPr>
                <w:ilvl w:val="0"/>
                <w:numId w:val="17"/>
              </w:numPr>
              <w:spacing w:line="276" w:lineRule="auto"/>
              <w:rPr>
                <w:b w:val="0"/>
              </w:rPr>
            </w:pPr>
            <w:r>
              <w:rPr>
                <w:b w:val="0"/>
              </w:rPr>
              <w:t>h</w:t>
            </w:r>
            <w:r w:rsidR="00F37991">
              <w:rPr>
                <w:b w:val="0"/>
              </w:rPr>
              <w:t>andle the vessel safely under the prevailing conditions with due consideration to the engineering systems</w:t>
            </w:r>
          </w:p>
          <w:p w:rsidR="00F37991" w:rsidRPr="001B0A7B" w:rsidRDefault="00937026" w:rsidP="00F37991">
            <w:pPr>
              <w:pStyle w:val="NOSBodyHeading"/>
              <w:numPr>
                <w:ilvl w:val="0"/>
                <w:numId w:val="17"/>
              </w:numPr>
              <w:spacing w:line="276" w:lineRule="auto"/>
              <w:rPr>
                <w:b w:val="0"/>
              </w:rPr>
            </w:pPr>
            <w:r>
              <w:rPr>
                <w:b w:val="0"/>
              </w:rPr>
              <w:t>c</w:t>
            </w:r>
            <w:r w:rsidR="00F37991">
              <w:rPr>
                <w:b w:val="0"/>
              </w:rPr>
              <w:t>ommunicate clearly and concisely with the ship's team to ensure effective navigation and ship handling</w:t>
            </w:r>
          </w:p>
          <w:p w:rsidR="00F37991" w:rsidRPr="001B0A7B" w:rsidRDefault="00937026" w:rsidP="00F37991">
            <w:pPr>
              <w:pStyle w:val="NOSBodyHeading"/>
              <w:numPr>
                <w:ilvl w:val="0"/>
                <w:numId w:val="17"/>
              </w:numPr>
              <w:spacing w:line="276" w:lineRule="auto"/>
              <w:rPr>
                <w:b w:val="0"/>
              </w:rPr>
            </w:pPr>
            <w:r>
              <w:rPr>
                <w:b w:val="0"/>
              </w:rPr>
              <w:t>o</w:t>
            </w:r>
            <w:r w:rsidR="00F37991">
              <w:rPr>
                <w:b w:val="0"/>
              </w:rPr>
              <w:t>perate remote controls of propulsion plant, engineering systems and services correctly and safely</w:t>
            </w:r>
          </w:p>
          <w:p w:rsidR="003C6D88" w:rsidRPr="001B0A7B" w:rsidRDefault="00937026" w:rsidP="00F37991">
            <w:pPr>
              <w:pStyle w:val="NOSBodyHeading"/>
              <w:numPr>
                <w:ilvl w:val="0"/>
                <w:numId w:val="17"/>
              </w:numPr>
              <w:spacing w:line="276" w:lineRule="auto"/>
              <w:rPr>
                <w:b w:val="0"/>
              </w:rPr>
            </w:pPr>
            <w:r>
              <w:rPr>
                <w:b w:val="0"/>
              </w:rPr>
              <w:t>d</w:t>
            </w:r>
            <w:r w:rsidR="00F37991">
              <w:rPr>
                <w:b w:val="0"/>
              </w:rPr>
              <w:t>evelop and action appropriate contingency plans, which reflect bridge team management principles and that ensure the safety of navigation, protection of the marine environment and safety of the vessel and persons on board</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642FD4"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7F4D6F" w:rsidRDefault="007F4D6F" w:rsidP="007F4D6F">
            <w:pPr>
              <w:pStyle w:val="NOSBodyHeading"/>
              <w:spacing w:line="276" w:lineRule="auto"/>
              <w:rPr>
                <w:rFonts w:cs="Arial"/>
                <w:b w:val="0"/>
              </w:rPr>
            </w:pPr>
            <w:bookmarkStart w:id="7" w:name="StartKnowledge"/>
            <w:bookmarkEnd w:id="7"/>
          </w:p>
          <w:p w:rsidR="002A0663" w:rsidRDefault="002A0663" w:rsidP="007F4D6F">
            <w:pPr>
              <w:pStyle w:val="NOSBodyHeading"/>
              <w:spacing w:line="276" w:lineRule="auto"/>
              <w:rPr>
                <w:rFonts w:cs="Arial"/>
                <w:b w:val="0"/>
              </w:rPr>
            </w:pPr>
          </w:p>
          <w:p w:rsidR="007F4D6F" w:rsidRPr="001B0A7B" w:rsidRDefault="007F4D6F" w:rsidP="007F4D6F">
            <w:pPr>
              <w:pStyle w:val="NOSBodyHeading"/>
              <w:spacing w:line="276" w:lineRule="auto"/>
              <w:rPr>
                <w:b w:val="0"/>
              </w:rPr>
            </w:pP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plan a voyage and conduct navigation</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establish watch-keeping arrangements and procedures</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maintain safe navigation through the use of radar and ARPA and modern navigation systems to assist command decision-making</w:t>
            </w:r>
          </w:p>
          <w:p w:rsidR="007F4D6F" w:rsidRPr="001B0A7B" w:rsidRDefault="00937026" w:rsidP="007F4D6F">
            <w:pPr>
              <w:pStyle w:val="NOSBodyHeading"/>
              <w:numPr>
                <w:ilvl w:val="0"/>
                <w:numId w:val="18"/>
              </w:numPr>
              <w:spacing w:line="276" w:lineRule="auto"/>
              <w:rPr>
                <w:b w:val="0"/>
              </w:rPr>
            </w:pPr>
            <w:r>
              <w:rPr>
                <w:rFonts w:cs="Arial"/>
                <w:b w:val="0"/>
              </w:rPr>
              <w:t>t</w:t>
            </w:r>
            <w:r w:rsidR="007F4D6F">
              <w:rPr>
                <w:rFonts w:cs="Arial"/>
                <w:b w:val="0"/>
              </w:rPr>
              <w:t>he use of weather and oceanographic information to forecast conditions</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develop contingency plans which reflect bridge team management principles and that ensure the safety of navigation, protection of the marine environment and safety of the vessel and persons on board</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respond and control navigational emergencies</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manoeuvre and handle the vessel in all conditions</w:t>
            </w:r>
          </w:p>
          <w:p w:rsidR="007F4D6F" w:rsidRPr="001B0A7B" w:rsidRDefault="00937026" w:rsidP="007F4D6F">
            <w:pPr>
              <w:pStyle w:val="NOSBodyHeading"/>
              <w:numPr>
                <w:ilvl w:val="0"/>
                <w:numId w:val="18"/>
              </w:numPr>
              <w:spacing w:line="276" w:lineRule="auto"/>
              <w:rPr>
                <w:b w:val="0"/>
              </w:rPr>
            </w:pPr>
            <w:r>
              <w:rPr>
                <w:rFonts w:cs="Arial"/>
                <w:b w:val="0"/>
              </w:rPr>
              <w:t>t</w:t>
            </w:r>
            <w:r w:rsidR="007F4D6F">
              <w:rPr>
                <w:rFonts w:cs="Arial"/>
                <w:b w:val="0"/>
              </w:rPr>
              <w:t>he operation of remote controls of propulsion plant and engineering systems and services</w:t>
            </w:r>
          </w:p>
          <w:p w:rsidR="007F4D6F" w:rsidRPr="001B0A7B" w:rsidRDefault="00937026" w:rsidP="007F4D6F">
            <w:pPr>
              <w:pStyle w:val="NOSBodyHeading"/>
              <w:numPr>
                <w:ilvl w:val="0"/>
                <w:numId w:val="18"/>
              </w:numPr>
              <w:spacing w:line="276" w:lineRule="auto"/>
              <w:rPr>
                <w:b w:val="0"/>
              </w:rPr>
            </w:pPr>
            <w:r>
              <w:rPr>
                <w:rFonts w:cs="Arial"/>
                <w:b w:val="0"/>
              </w:rPr>
              <w:t>t</w:t>
            </w:r>
            <w:r w:rsidR="007F4D6F">
              <w:rPr>
                <w:rFonts w:cs="Arial"/>
                <w:b w:val="0"/>
              </w:rPr>
              <w:t>he procedures for dry-docking and the preparations required for surveys</w:t>
            </w:r>
          </w:p>
          <w:p w:rsidR="007F4D6F" w:rsidRPr="001B0A7B" w:rsidRDefault="00937026" w:rsidP="007F4D6F">
            <w:pPr>
              <w:pStyle w:val="NOSBodyHeading"/>
              <w:numPr>
                <w:ilvl w:val="0"/>
                <w:numId w:val="18"/>
              </w:numPr>
              <w:spacing w:line="276" w:lineRule="auto"/>
              <w:rPr>
                <w:b w:val="0"/>
              </w:rPr>
            </w:pPr>
            <w:r>
              <w:rPr>
                <w:rFonts w:cs="Arial"/>
                <w:b w:val="0"/>
              </w:rPr>
              <w:t>h</w:t>
            </w:r>
            <w:r w:rsidR="007F4D6F">
              <w:rPr>
                <w:rFonts w:cs="Arial"/>
                <w:b w:val="0"/>
              </w:rPr>
              <w:t>ow to evaluate and apply statutory regulations and guidelines, organisational instructions and guidance and vessel contingency plans</w:t>
            </w:r>
          </w:p>
          <w:p w:rsidR="00006091" w:rsidRPr="001B0A7B" w:rsidRDefault="00006091" w:rsidP="007F4D6F">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CE7829" w:rsidP="001F6BF7">
            <w:pPr>
              <w:pStyle w:val="NOSBodyText"/>
            </w:pPr>
            <w:bookmarkStart w:id="9" w:name="StartDevelopedBy"/>
            <w:bookmarkEnd w:id="9"/>
            <w:r>
              <w:t>Merchant Navy Training Board</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642FD4"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2A0663"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2B3B7C" w:rsidP="002A0663">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2A0663" w:rsidRPr="004E05F7" w:rsidRDefault="002A0663" w:rsidP="002A0663">
            <w:pPr>
              <w:pStyle w:val="NOSBodyText"/>
              <w:rPr>
                <w:color w:val="221E1F"/>
              </w:rPr>
            </w:pPr>
          </w:p>
        </w:tc>
      </w:tr>
      <w:tr w:rsidR="0052780A" w:rsidRPr="00CF4D98" w:rsidTr="00690067">
        <w:tc>
          <w:tcPr>
            <w:tcW w:w="2518" w:type="dxa"/>
          </w:tcPr>
          <w:p w:rsidR="0052780A" w:rsidRDefault="00642FD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2B3B7C" w:rsidP="002A0663">
            <w:pPr>
              <w:pStyle w:val="NOSBodyText"/>
              <w:rPr>
                <w:color w:val="221E1F"/>
              </w:rPr>
            </w:pPr>
            <w:bookmarkStart w:id="16" w:name="StartReview"/>
            <w:bookmarkStart w:id="17" w:name="EndReview"/>
            <w:bookmarkEnd w:id="16"/>
            <w:bookmarkEnd w:id="17"/>
            <w:r>
              <w:rPr>
                <w:color w:val="221E1F"/>
              </w:rPr>
              <w:t>December 2016</w:t>
            </w:r>
            <w:bookmarkStart w:id="18" w:name="Endindicativeapproveddate"/>
            <w:bookmarkEnd w:id="18"/>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CE7829"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CE7829"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642FD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A0663"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2B3B7C" w:rsidP="001F6BF7">
            <w:pPr>
              <w:pStyle w:val="NOSBodyText"/>
              <w:rPr>
                <w:color w:val="221E1F"/>
              </w:rPr>
            </w:pPr>
            <w:bookmarkStart w:id="25" w:name="StartOriginURN"/>
            <w:bookmarkEnd w:id="25"/>
            <w:r>
              <w:rPr>
                <w:color w:val="221E1F"/>
              </w:rPr>
              <w:t>MSA B04</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642FD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B3B7C" w:rsidP="001F6BF7">
            <w:pPr>
              <w:pStyle w:val="NOSBodyText"/>
              <w:rPr>
                <w:color w:val="221E1F"/>
              </w:rPr>
            </w:pPr>
            <w:bookmarkStart w:id="27" w:name="StartOccupations"/>
            <w:bookmarkEnd w:id="27"/>
            <w:r w:rsidRPr="00C91179">
              <w:rPr>
                <w:rFonts w:cs="Arial"/>
                <w:color w:val="221E1F"/>
              </w:rPr>
              <w:t>navigation officer; engineer; deck officer; able seaman</w:t>
            </w:r>
          </w:p>
          <w:p w:rsidR="008A2610" w:rsidRPr="004E05F7" w:rsidRDefault="008A2610" w:rsidP="001F6BF7">
            <w:pPr>
              <w:pStyle w:val="NOSBodyText"/>
              <w:rPr>
                <w:color w:val="221E1F"/>
              </w:rPr>
            </w:pPr>
            <w:bookmarkStart w:id="28" w:name="EndOccupations"/>
            <w:bookmarkEnd w:id="28"/>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2A0663"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642FD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2B3B7C" w:rsidP="002B3B7C">
            <w:pPr>
              <w:pStyle w:val="NOSBodyText"/>
              <w:rPr>
                <w:color w:val="221E1F"/>
              </w:rPr>
            </w:pPr>
            <w:bookmarkStart w:id="31" w:name="StartKeywords"/>
            <w:bookmarkEnd w:id="31"/>
            <w:r>
              <w:t>Policies; safety; navigation; all conditions; contingencies; compliance; international standards; navigational support; vessel handling</w:t>
            </w:r>
            <w:bookmarkStart w:id="32" w:name="endKeywords"/>
            <w:bookmarkEnd w:id="32"/>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2B3B7C" w:rsidP="009F7CB5">
    <w:pPr>
      <w:pStyle w:val="Footer"/>
      <w:tabs>
        <w:tab w:val="left" w:pos="1200"/>
        <w:tab w:val="right" w:pos="10206"/>
      </w:tabs>
      <w:rPr>
        <w:sz w:val="18"/>
        <w:szCs w:val="18"/>
      </w:rPr>
    </w:pPr>
    <w:r>
      <w:rPr>
        <w:rFonts w:ascii="Arial" w:hAnsi="Arial" w:cs="Arial"/>
        <w:sz w:val="14"/>
        <w:szCs w:val="14"/>
      </w:rPr>
      <w:t>MSA B04 Control navigation and vessel-handling</w:t>
    </w:r>
    <w:r w:rsidR="009F7CB5">
      <w:rPr>
        <w:sz w:val="18"/>
        <w:szCs w:val="18"/>
      </w:rPr>
      <w:tab/>
    </w:r>
    <w:r w:rsidR="009F7CB5">
      <w:rPr>
        <w:sz w:val="18"/>
        <w:szCs w:val="18"/>
      </w:rPr>
      <w:tab/>
    </w:r>
    <w:r w:rsidR="009F7CB5">
      <w:rPr>
        <w:sz w:val="18"/>
        <w:szCs w:val="18"/>
      </w:rPr>
      <w:tab/>
    </w:r>
    <w:r w:rsidR="00642FD4"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642FD4" w:rsidRPr="008C0064">
      <w:rPr>
        <w:rFonts w:ascii="Arial" w:hAnsi="Arial" w:cs="Arial"/>
        <w:sz w:val="14"/>
        <w:szCs w:val="14"/>
      </w:rPr>
      <w:fldChar w:fldCharType="separate"/>
    </w:r>
    <w:r w:rsidR="008070F2">
      <w:rPr>
        <w:rFonts w:ascii="Arial" w:hAnsi="Arial" w:cs="Arial"/>
        <w:noProof/>
        <w:sz w:val="14"/>
        <w:szCs w:val="14"/>
      </w:rPr>
      <w:t>4</w:t>
    </w:r>
    <w:r w:rsidR="00642FD4"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2B3B7C" w:rsidP="0086259F">
    <w:pPr>
      <w:pStyle w:val="Footer"/>
      <w:tabs>
        <w:tab w:val="left" w:pos="1200"/>
        <w:tab w:val="right" w:pos="10206"/>
      </w:tabs>
      <w:rPr>
        <w:sz w:val="18"/>
        <w:szCs w:val="18"/>
      </w:rPr>
    </w:pPr>
    <w:r>
      <w:rPr>
        <w:rFonts w:ascii="Arial" w:hAnsi="Arial" w:cs="Arial"/>
        <w:sz w:val="14"/>
        <w:szCs w:val="14"/>
      </w:rPr>
      <w:t>MSA B04 Control navigation and vessel-handling</w:t>
    </w:r>
    <w:r w:rsidR="004323FE">
      <w:rPr>
        <w:sz w:val="18"/>
        <w:szCs w:val="18"/>
      </w:rPr>
      <w:tab/>
    </w:r>
    <w:r w:rsidR="004323FE">
      <w:rPr>
        <w:sz w:val="18"/>
        <w:szCs w:val="18"/>
      </w:rPr>
      <w:tab/>
    </w:r>
    <w:r w:rsidR="004323FE">
      <w:rPr>
        <w:sz w:val="18"/>
        <w:szCs w:val="18"/>
      </w:rPr>
      <w:tab/>
    </w:r>
    <w:r w:rsidR="00642FD4"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642FD4" w:rsidRPr="008C0064">
      <w:rPr>
        <w:rFonts w:ascii="Arial" w:hAnsi="Arial" w:cs="Arial"/>
        <w:sz w:val="14"/>
        <w:szCs w:val="14"/>
      </w:rPr>
      <w:fldChar w:fldCharType="separate"/>
    </w:r>
    <w:r w:rsidR="008070F2">
      <w:rPr>
        <w:rFonts w:ascii="Arial" w:hAnsi="Arial" w:cs="Arial"/>
        <w:noProof/>
        <w:sz w:val="14"/>
        <w:szCs w:val="14"/>
      </w:rPr>
      <w:t>1</w:t>
    </w:r>
    <w:r w:rsidR="00642FD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642FD4" w:rsidP="002063F2">
    <w:pPr>
      <w:tabs>
        <w:tab w:val="left" w:pos="7140"/>
      </w:tabs>
    </w:pPr>
    <w:r w:rsidRPr="00642FD4">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2B3B7C">
      <w:rPr>
        <w:rFonts w:ascii="Arial" w:eastAsiaTheme="minorHAnsi" w:hAnsi="Arial" w:cs="Arial"/>
        <w:b/>
        <w:noProof/>
        <w:sz w:val="32"/>
        <w:szCs w:val="32"/>
      </w:rPr>
      <w:t xml:space="preserve">MSA </w:t>
    </w:r>
    <w:r w:rsidR="002A0663">
      <w:rPr>
        <w:rFonts w:ascii="Arial" w:eastAsiaTheme="minorHAnsi" w:hAnsi="Arial" w:cs="Arial"/>
        <w:b/>
        <w:noProof/>
        <w:sz w:val="32"/>
        <w:szCs w:val="32"/>
      </w:rPr>
      <w:t>B04</w:t>
    </w:r>
    <w:r w:rsidR="002063F2" w:rsidRPr="003C6D88">
      <w:rPr>
        <w:rFonts w:eastAsiaTheme="minorHAnsi" w:cs="Courier New"/>
        <w:noProof/>
        <w:sz w:val="32"/>
        <w:szCs w:val="32"/>
      </w:rPr>
      <w:br/>
    </w:r>
    <w:r w:rsidR="00127119">
      <w:rPr>
        <w:rFonts w:ascii="Arial" w:eastAsiaTheme="minorHAnsi" w:hAnsi="Arial" w:cs="Arial"/>
        <w:noProof/>
        <w:sz w:val="32"/>
        <w:szCs w:val="32"/>
      </w:rPr>
      <w:t>Control navigation and vessel-handling</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2B3B7C" w:rsidP="009A1F82">
          <w:pPr>
            <w:pStyle w:val="Header"/>
            <w:rPr>
              <w:rFonts w:ascii="Arial" w:hAnsi="Arial" w:cs="Arial"/>
              <w:b/>
              <w:sz w:val="32"/>
              <w:szCs w:val="32"/>
            </w:rPr>
          </w:pPr>
          <w:r>
            <w:rPr>
              <w:rFonts w:ascii="Arial" w:hAnsi="Arial" w:cs="Arial"/>
              <w:b/>
              <w:sz w:val="32"/>
              <w:szCs w:val="32"/>
            </w:rPr>
            <w:t xml:space="preserve">MSA </w:t>
          </w:r>
          <w:r w:rsidR="002A0663">
            <w:rPr>
              <w:rFonts w:ascii="Arial" w:hAnsi="Arial" w:cs="Arial"/>
              <w:b/>
              <w:sz w:val="32"/>
              <w:szCs w:val="32"/>
            </w:rPr>
            <w:t>B04</w:t>
          </w:r>
        </w:p>
        <w:p w:rsidR="009A1F82" w:rsidRPr="00DF70EE" w:rsidRDefault="00127119" w:rsidP="009A1F82">
          <w:pPr>
            <w:pStyle w:val="Header"/>
            <w:rPr>
              <w:rFonts w:ascii="Arial" w:hAnsi="Arial" w:cs="Arial"/>
            </w:rPr>
          </w:pPr>
          <w:r>
            <w:rPr>
              <w:rFonts w:ascii="Arial" w:hAnsi="Arial" w:cs="Arial"/>
              <w:sz w:val="32"/>
              <w:szCs w:val="32"/>
            </w:rPr>
            <w:t>Control navigation and vessel-handling</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642FD4"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0035A3"/>
    <w:multiLevelType w:val="multilevel"/>
    <w:tmpl w:val="253A8C0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5D110E6D"/>
    <w:multiLevelType w:val="multilevel"/>
    <w:tmpl w:val="8256AAA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8855C3E"/>
    <w:multiLevelType w:val="multilevel"/>
    <w:tmpl w:val="1CA663F4"/>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2"/>
  </w:num>
  <w:num w:numId="5">
    <w:abstractNumId w:val="11"/>
  </w:num>
  <w:num w:numId="6">
    <w:abstractNumId w:val="14"/>
  </w:num>
  <w:num w:numId="7">
    <w:abstractNumId w:val="5"/>
  </w:num>
  <w:num w:numId="8">
    <w:abstractNumId w:val="17"/>
  </w:num>
  <w:num w:numId="9">
    <w:abstractNumId w:val="16"/>
  </w:num>
  <w:num w:numId="10">
    <w:abstractNumId w:val="13"/>
  </w:num>
  <w:num w:numId="11">
    <w:abstractNumId w:val="10"/>
  </w:num>
  <w:num w:numId="12">
    <w:abstractNumId w:val="7"/>
  </w:num>
  <w:num w:numId="13">
    <w:abstractNumId w:val="4"/>
  </w:num>
  <w:num w:numId="14">
    <w:abstractNumId w:val="9"/>
  </w:num>
  <w:num w:numId="15">
    <w:abstractNumId w:val="0"/>
  </w:num>
  <w:num w:numId="16">
    <w:abstractNumId w:val="12"/>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B6FAE"/>
    <w:rsid w:val="000D38DB"/>
    <w:rsid w:val="000E0A1D"/>
    <w:rsid w:val="000E1A7E"/>
    <w:rsid w:val="0010370F"/>
    <w:rsid w:val="0010479B"/>
    <w:rsid w:val="001103C6"/>
    <w:rsid w:val="00115544"/>
    <w:rsid w:val="00127119"/>
    <w:rsid w:val="0013639C"/>
    <w:rsid w:val="0016238F"/>
    <w:rsid w:val="001634E2"/>
    <w:rsid w:val="001704DF"/>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0663"/>
    <w:rsid w:val="002A4C5F"/>
    <w:rsid w:val="002B1E39"/>
    <w:rsid w:val="002B3B7C"/>
    <w:rsid w:val="002B42E5"/>
    <w:rsid w:val="002B5343"/>
    <w:rsid w:val="002C069C"/>
    <w:rsid w:val="002C10D9"/>
    <w:rsid w:val="002C5190"/>
    <w:rsid w:val="002D1E76"/>
    <w:rsid w:val="002D2F7F"/>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4E2D8B"/>
    <w:rsid w:val="0050084C"/>
    <w:rsid w:val="005027E6"/>
    <w:rsid w:val="00512259"/>
    <w:rsid w:val="00515426"/>
    <w:rsid w:val="00521BFC"/>
    <w:rsid w:val="0052780A"/>
    <w:rsid w:val="00540315"/>
    <w:rsid w:val="00540609"/>
    <w:rsid w:val="00545BAC"/>
    <w:rsid w:val="00550278"/>
    <w:rsid w:val="00550971"/>
    <w:rsid w:val="00556342"/>
    <w:rsid w:val="00563BF7"/>
    <w:rsid w:val="005833E2"/>
    <w:rsid w:val="005A4236"/>
    <w:rsid w:val="005B01E9"/>
    <w:rsid w:val="005B16DD"/>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34E8"/>
    <w:rsid w:val="00633DE9"/>
    <w:rsid w:val="00637642"/>
    <w:rsid w:val="00642FD4"/>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B6404"/>
    <w:rsid w:val="007C232F"/>
    <w:rsid w:val="007C7DC5"/>
    <w:rsid w:val="007D1DAB"/>
    <w:rsid w:val="007D3CB0"/>
    <w:rsid w:val="007D52B7"/>
    <w:rsid w:val="007E7D16"/>
    <w:rsid w:val="007F4D6F"/>
    <w:rsid w:val="008070F2"/>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7026"/>
    <w:rsid w:val="009406A9"/>
    <w:rsid w:val="009413C7"/>
    <w:rsid w:val="0094762A"/>
    <w:rsid w:val="009504B1"/>
    <w:rsid w:val="009507C1"/>
    <w:rsid w:val="009524C5"/>
    <w:rsid w:val="00957D1B"/>
    <w:rsid w:val="00964343"/>
    <w:rsid w:val="009648B9"/>
    <w:rsid w:val="00965C13"/>
    <w:rsid w:val="00967459"/>
    <w:rsid w:val="00970FA0"/>
    <w:rsid w:val="00974A9C"/>
    <w:rsid w:val="009759E7"/>
    <w:rsid w:val="00987F3E"/>
    <w:rsid w:val="009966D8"/>
    <w:rsid w:val="00996800"/>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3020D"/>
    <w:rsid w:val="00A560A0"/>
    <w:rsid w:val="00A664B3"/>
    <w:rsid w:val="00A73B2E"/>
    <w:rsid w:val="00A910A6"/>
    <w:rsid w:val="00A92AB5"/>
    <w:rsid w:val="00A9731F"/>
    <w:rsid w:val="00AA411C"/>
    <w:rsid w:val="00AB493E"/>
    <w:rsid w:val="00AB7B1B"/>
    <w:rsid w:val="00AC5EE5"/>
    <w:rsid w:val="00AE57EF"/>
    <w:rsid w:val="00B00640"/>
    <w:rsid w:val="00B15A0B"/>
    <w:rsid w:val="00B165CE"/>
    <w:rsid w:val="00B4020E"/>
    <w:rsid w:val="00B51DAF"/>
    <w:rsid w:val="00B5446B"/>
    <w:rsid w:val="00B652FB"/>
    <w:rsid w:val="00B73F65"/>
    <w:rsid w:val="00B82F94"/>
    <w:rsid w:val="00B9514C"/>
    <w:rsid w:val="00BA174C"/>
    <w:rsid w:val="00BA2445"/>
    <w:rsid w:val="00BC5E81"/>
    <w:rsid w:val="00BE436E"/>
    <w:rsid w:val="00BE73DA"/>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E7829"/>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641"/>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B6003"/>
    <w:rsid w:val="00EC19B3"/>
    <w:rsid w:val="00EC1AA4"/>
    <w:rsid w:val="00EC71A9"/>
    <w:rsid w:val="00ED4338"/>
    <w:rsid w:val="00EE5D4B"/>
    <w:rsid w:val="00F02CCD"/>
    <w:rsid w:val="00F051A8"/>
    <w:rsid w:val="00F129CF"/>
    <w:rsid w:val="00F152BB"/>
    <w:rsid w:val="00F2327D"/>
    <w:rsid w:val="00F25CCF"/>
    <w:rsid w:val="00F2717E"/>
    <w:rsid w:val="00F307E2"/>
    <w:rsid w:val="00F353EE"/>
    <w:rsid w:val="00F37991"/>
    <w:rsid w:val="00F404FC"/>
    <w:rsid w:val="00F4296C"/>
    <w:rsid w:val="00F45010"/>
    <w:rsid w:val="00F45348"/>
    <w:rsid w:val="00F656FD"/>
    <w:rsid w:val="00F72712"/>
    <w:rsid w:val="00F75610"/>
    <w:rsid w:val="00F83C96"/>
    <w:rsid w:val="00F90C6C"/>
    <w:rsid w:val="00F90E29"/>
    <w:rsid w:val="00F96AF3"/>
    <w:rsid w:val="00FA164F"/>
    <w:rsid w:val="00FB0B60"/>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58"/>
        <o:r id="V:Rule16" type="connector" idref="#_x0000_s1045"/>
        <o:r id="V:Rule17" type="connector" idref="#_x0000_s1040"/>
        <o:r id="V:Rule18" type="connector" idref="#_x0000_s1046"/>
        <o:r id="V:Rule19" type="connector" idref="#_x0000_s1043"/>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74E94"/>
    <w:rsid w:val="00282F70"/>
    <w:rsid w:val="002C46EF"/>
    <w:rsid w:val="00401C66"/>
    <w:rsid w:val="00462417"/>
    <w:rsid w:val="004F2B01"/>
    <w:rsid w:val="0053637E"/>
    <w:rsid w:val="00567979"/>
    <w:rsid w:val="005B7907"/>
    <w:rsid w:val="00691D82"/>
    <w:rsid w:val="006D37C5"/>
    <w:rsid w:val="00752FD9"/>
    <w:rsid w:val="008777D8"/>
    <w:rsid w:val="008960EC"/>
    <w:rsid w:val="008A619D"/>
    <w:rsid w:val="008B5E4D"/>
    <w:rsid w:val="009C2E27"/>
    <w:rsid w:val="009D0A55"/>
    <w:rsid w:val="00B37502"/>
    <w:rsid w:val="00B70535"/>
    <w:rsid w:val="00BE4FC8"/>
    <w:rsid w:val="00C844BE"/>
    <w:rsid w:val="00CE1085"/>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97D77FCD-7170-4416-8C56-A1200636B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0F4E98-91C6-495E-B98D-74A1E7A12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5</cp:revision>
  <dcterms:created xsi:type="dcterms:W3CDTF">2011-08-31T13:06:00Z</dcterms:created>
  <dcterms:modified xsi:type="dcterms:W3CDTF">2012-02-23T13:44:00Z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