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259"/>
        <w:gridCol w:w="5538"/>
      </w:tblGrid>
      <w:tr w:rsidR="000B4CE5" w:rsidRPr="00C204DB" w:rsidTr="00915E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sz w:val="22"/>
                <w:szCs w:val="22"/>
              </w:rPr>
              <w:t>MSA Unit 13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QCF Ref: XXXXX</w:t>
            </w:r>
          </w:p>
        </w:tc>
      </w:tr>
      <w:tr w:rsidR="000B4CE5" w:rsidRPr="00C204DB" w:rsidTr="00915E87"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/>
                <w:sz w:val="22"/>
                <w:szCs w:val="22"/>
              </w:rPr>
              <w:t>Control Roll On – Roll Off Operations On Domestic Vessels</w:t>
            </w:r>
          </w:p>
        </w:tc>
      </w:tr>
      <w:tr w:rsidR="000B4CE5" w:rsidRPr="00C204DB" w:rsidTr="00915E87">
        <w:tc>
          <w:tcPr>
            <w:tcW w:w="1701" w:type="dxa"/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 w:val="0"/>
                <w:sz w:val="22"/>
                <w:szCs w:val="22"/>
              </w:rPr>
              <w:t>Level: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0B4CE5" w:rsidRPr="00C204DB" w:rsidRDefault="000B4CE5" w:rsidP="00915E87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0B4CE5" w:rsidRPr="00C204DB" w:rsidTr="00915E87">
        <w:tc>
          <w:tcPr>
            <w:tcW w:w="1701" w:type="dxa"/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Credit value: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0B4CE5" w:rsidRPr="00C204DB" w:rsidRDefault="000B4CE5" w:rsidP="00915E87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  <w:tr w:rsidR="000B4CE5" w:rsidRPr="00C204DB" w:rsidTr="00915E87">
        <w:trPr>
          <w:trHeight w:val="70"/>
        </w:trPr>
        <w:tc>
          <w:tcPr>
            <w:tcW w:w="3960" w:type="dxa"/>
            <w:gridSpan w:val="2"/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Learning outcomes - </w:t>
            </w:r>
            <w:r w:rsidRPr="00C204DB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0B4CE5" w:rsidRPr="00C204DB" w:rsidRDefault="000B4CE5" w:rsidP="00915E87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Assessment criteria - </w:t>
            </w:r>
            <w:r w:rsidRPr="00C204DB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1. Know the regulatory framework within which Roll On–Roll Off (</w:t>
            </w:r>
            <w:r w:rsidR="00A27C74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Ro-Ro</w:t>
            </w:r>
            <w:r w:rsidRPr="00C204D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) operations are carried out </w:t>
            </w:r>
          </w:p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0B4CE5" w:rsidRPr="00C204DB" w:rsidRDefault="000B4CE5" w:rsidP="00915E87">
            <w:pPr>
              <w:pStyle w:val="TableText"/>
              <w:spacing w:before="20" w:after="2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1.1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the content of Maritime &amp; Coastguard Agency (MCA) ‘M’ noti</w:t>
            </w:r>
            <w:r w:rsidR="00A27C74">
              <w:rPr>
                <w:rFonts w:asciiTheme="minorHAnsi" w:hAnsiTheme="minorHAnsi"/>
                <w:color w:val="000000"/>
                <w:szCs w:val="22"/>
              </w:rPr>
              <w:t>ces covering Roll On–Roll Off (Ro-Ro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) operations.</w:t>
            </w:r>
          </w:p>
          <w:p w:rsidR="000B4CE5" w:rsidRPr="00C204DB" w:rsidRDefault="000B4CE5" w:rsidP="00915E87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1.2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Explain the requirements of Safety Management Systems as they relate to </w:t>
            </w:r>
            <w:r w:rsidR="00A27C74">
              <w:rPr>
                <w:rFonts w:asciiTheme="minorHAnsi" w:hAnsiTheme="minorHAnsi"/>
                <w:color w:val="000000"/>
                <w:szCs w:val="22"/>
              </w:rPr>
              <w:t>Ro-Ro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 operations</w:t>
            </w:r>
          </w:p>
          <w:p w:rsidR="000B4CE5" w:rsidRPr="00C204DB" w:rsidRDefault="000B4CE5" w:rsidP="00915E87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1.3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the sections of the Mari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time &amp; Coastguard Agency (MCA)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Code of Safe Working Practices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>f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or M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>erchant Seamen</w:t>
            </w:r>
            <w:r w:rsidR="00A27C74">
              <w:rPr>
                <w:rFonts w:asciiTheme="minorHAnsi" w:hAnsiTheme="minorHAnsi"/>
                <w:color w:val="000000"/>
                <w:szCs w:val="22"/>
              </w:rPr>
              <w:t xml:space="preserve"> that relate to Ro-Ro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 operations</w:t>
            </w:r>
          </w:p>
          <w:p w:rsidR="000B4CE5" w:rsidRPr="00C204DB" w:rsidRDefault="000B4CE5" w:rsidP="00915E87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1.4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Explain the content of the MCA Code of </w:t>
            </w:r>
            <w:r w:rsidR="00A27C74">
              <w:rPr>
                <w:rFonts w:asciiTheme="minorHAnsi" w:hAnsiTheme="minorHAnsi"/>
                <w:color w:val="000000"/>
                <w:szCs w:val="22"/>
              </w:rPr>
              <w:t>Ro-Ro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 Ships Stowage and Securing of Vehicles</w:t>
            </w:r>
          </w:p>
          <w:p w:rsidR="000B4CE5" w:rsidRPr="00C204DB" w:rsidRDefault="000B4CE5" w:rsidP="00915E87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1.5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Explain the content of Cargo Securing Manuals 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2. Understand the specific stability considerations applying to </w:t>
            </w:r>
            <w:r w:rsidR="00A27C74">
              <w:rPr>
                <w:rFonts w:asciiTheme="minorHAnsi" w:hAnsiTheme="minorHAnsi" w:cs="Arial"/>
                <w:color w:val="000000"/>
                <w:sz w:val="22"/>
                <w:szCs w:val="22"/>
              </w:rPr>
              <w:t>Ro-Ro</w:t>
            </w:r>
            <w:r w:rsidRPr="00C204D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operations</w:t>
            </w:r>
          </w:p>
          <w:p w:rsidR="000B4CE5" w:rsidRPr="00C204DB" w:rsidRDefault="000B4CE5" w:rsidP="00915E87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0B4CE5" w:rsidRPr="00C204DB" w:rsidRDefault="000B4CE5" w:rsidP="00915E87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jc w:val="center"/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2.1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information contained in a ship’s stability book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2.2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effects on stability during and after loading and discharging of cargo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2.3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effect of free surface in fuel and water tanks on stability at all stages of loading and discharging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2.4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effect on stability of free surface water on vehicle decks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2.5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effect of point and axle weight loading on stability on vehicle decks and ramps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2.6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stability calculations which must be completed before sailing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2.7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effect of flooding and damage stability factors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A27C74" w:rsidRDefault="000B4CE5" w:rsidP="00915E87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A27C74">
              <w:rPr>
                <w:rFonts w:ascii="Calibri" w:hAnsi="Calibri" w:cs="Arial"/>
                <w:sz w:val="22"/>
                <w:szCs w:val="22"/>
              </w:rPr>
              <w:t>3. Know the systems for opening and closing bow and stern doors, other hull openings, mezzanine decks, and vehicle ramps</w:t>
            </w:r>
          </w:p>
        </w:tc>
        <w:tc>
          <w:tcPr>
            <w:tcW w:w="5538" w:type="dxa"/>
          </w:tcPr>
          <w:p w:rsidR="000B4CE5" w:rsidRPr="00A27C74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="Calibri" w:hAnsi="Calibri" w:cs="Arial"/>
                <w:spacing w:val="-3"/>
                <w:szCs w:val="22"/>
              </w:rPr>
            </w:pPr>
            <w:r w:rsidRPr="00A27C74">
              <w:rPr>
                <w:rFonts w:ascii="Calibri" w:hAnsi="Calibri" w:cs="Arial"/>
                <w:spacing w:val="-3"/>
                <w:szCs w:val="22"/>
              </w:rPr>
              <w:t xml:space="preserve">3.1 </w:t>
            </w:r>
            <w:r w:rsidR="00145CE7">
              <w:rPr>
                <w:rFonts w:ascii="Calibri" w:hAnsi="Calibri" w:cs="Arial"/>
                <w:spacing w:val="-3"/>
                <w:szCs w:val="22"/>
              </w:rPr>
              <w:t xml:space="preserve"> </w:t>
            </w:r>
            <w:r w:rsidRPr="00A27C74">
              <w:rPr>
                <w:rFonts w:ascii="Calibri" w:hAnsi="Calibri" w:cs="Arial"/>
                <w:spacing w:val="-3"/>
                <w:szCs w:val="22"/>
              </w:rPr>
              <w:t>Explain how to operate bow and stern doors, other hull openings, mezzanine decks, and vehicle ramps</w:t>
            </w:r>
          </w:p>
          <w:p w:rsidR="000B4CE5" w:rsidRPr="00A27C74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="Calibri" w:hAnsi="Calibri" w:cs="Arial"/>
                <w:spacing w:val="-3"/>
                <w:szCs w:val="22"/>
              </w:rPr>
            </w:pPr>
            <w:r w:rsidRPr="00A27C74">
              <w:rPr>
                <w:rFonts w:ascii="Calibri" w:hAnsi="Calibri" w:cs="Arial"/>
                <w:spacing w:val="-3"/>
                <w:szCs w:val="22"/>
              </w:rPr>
              <w:t xml:space="preserve">3.2 </w:t>
            </w:r>
            <w:r w:rsidR="00145CE7">
              <w:rPr>
                <w:rFonts w:ascii="Calibri" w:hAnsi="Calibri" w:cs="Arial"/>
                <w:spacing w:val="-3"/>
                <w:szCs w:val="22"/>
              </w:rPr>
              <w:t xml:space="preserve"> </w:t>
            </w:r>
            <w:r w:rsidRPr="00A27C74">
              <w:rPr>
                <w:rFonts w:ascii="Calibri" w:hAnsi="Calibri" w:cs="Arial"/>
                <w:spacing w:val="-3"/>
                <w:szCs w:val="22"/>
              </w:rPr>
              <w:t>Explain the checks to be carried out on watertight seals and securing devices</w:t>
            </w:r>
          </w:p>
          <w:p w:rsidR="000B4CE5" w:rsidRPr="00A27C74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="Calibri" w:hAnsi="Calibri" w:cs="Arial"/>
                <w:spacing w:val="-3"/>
                <w:szCs w:val="22"/>
              </w:rPr>
            </w:pPr>
            <w:r w:rsidRPr="00A27C74">
              <w:rPr>
                <w:rFonts w:ascii="Calibri" w:hAnsi="Calibri" w:cs="Arial"/>
                <w:spacing w:val="-3"/>
                <w:szCs w:val="22"/>
              </w:rPr>
              <w:t xml:space="preserve">3.3 </w:t>
            </w:r>
            <w:r w:rsidR="00145CE7">
              <w:rPr>
                <w:rFonts w:ascii="Calibri" w:hAnsi="Calibri" w:cs="Arial"/>
                <w:spacing w:val="-3"/>
                <w:szCs w:val="22"/>
              </w:rPr>
              <w:t xml:space="preserve"> </w:t>
            </w:r>
            <w:r w:rsidRPr="00A27C74">
              <w:rPr>
                <w:rFonts w:ascii="Calibri" w:hAnsi="Calibri" w:cs="Arial"/>
                <w:spacing w:val="-3"/>
                <w:szCs w:val="22"/>
              </w:rPr>
              <w:t xml:space="preserve">Explain the visual and audible alarms relating to vehicle deck operations 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4. Know how to control vehicle deck operations 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4.1  Explain how to plan the loading and discharging of vehicles and foot p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>assengers including: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briefing crew members on the intended operation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checking vehicles presented for shipment are suitable for carriage, including those carrying dangerous goods and livestock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separation of vehicles in different categories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distribution of vehicles on vehicle decks taking in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to account vehicle categories,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weights, stability, trim and draft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maintaining adequate spacing between vehicles to allow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lastRenderedPageBreak/>
              <w:t xml:space="preserve">passenger and crew access </w:t>
            </w:r>
          </w:p>
          <w:p w:rsidR="000B4CE5" w:rsidRPr="00C204DB" w:rsidRDefault="000B4CE5" w:rsidP="000B4CE5">
            <w:pPr>
              <w:pStyle w:val="text1"/>
              <w:numPr>
                <w:ilvl w:val="0"/>
                <w:numId w:val="4"/>
              </w:numPr>
              <w:spacing w:before="20" w:after="20" w:line="240" w:lineRule="auto"/>
              <w:ind w:left="327" w:hanging="284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separation of foot passengers and vehicles when both use the same ramp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4.2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safety procedures to be followed for vehicle deck operations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4.3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Explain the audible and visual alarms in use during vehicle deck operations 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4.4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requirements and procedures for counting passengers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4.5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personal protective equipment which must be worn by crew engaged in vehicle deck operations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4.6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how to maintain effective communications and give directions to crew members throughout the operation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4.7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zCs w:val="22"/>
              </w:rPr>
              <w:t>Explain the need for crew members to be able to give clear directions and instructions to vehicles and passengers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zCs w:val="22"/>
              </w:rPr>
              <w:t xml:space="preserve">4.8 </w:t>
            </w:r>
            <w:r w:rsidR="00145CE7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zCs w:val="22"/>
              </w:rPr>
              <w:t xml:space="preserve">Explain the reports and communications required between the vehicle deck, bridge, other departments, and passenger decks  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Bdr>
                <w:left w:val="single" w:sz="12" w:space="4" w:color="000000"/>
              </w:pBdr>
              <w:spacing w:before="20" w:after="20" w:line="240" w:lineRule="auto"/>
              <w:rPr>
                <w:color w:val="000000"/>
              </w:rPr>
            </w:pPr>
            <w:r w:rsidRPr="00C204DB">
              <w:rPr>
                <w:color w:val="000000"/>
              </w:rPr>
              <w:lastRenderedPageBreak/>
              <w:t xml:space="preserve">5. Know the requirements for the carriage of dangerous goods 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5.1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the content of the International Maritime Dangerous Goods Code (IMDG Code)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5.2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the purpose of a Document of Compliance for the Carriage of Dangerous Goods on a vessel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5.3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how to implement the provisions of the IMDG Code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5.4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where to obtain further advice on dangerous goods presented for shipment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5.5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which classes of dangerous goods are not permitted to be carried on board passenger vessels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/>
                <w:i/>
                <w:color w:val="000000"/>
                <w:szCs w:val="22"/>
              </w:rPr>
            </w:pPr>
            <w:r w:rsidRPr="00C204DB">
              <w:rPr>
                <w:rFonts w:asciiTheme="minorHAnsi" w:hAnsiTheme="minorHAnsi"/>
                <w:color w:val="000000"/>
                <w:szCs w:val="22"/>
              </w:rPr>
              <w:t xml:space="preserve">5.6 </w:t>
            </w:r>
            <w:r w:rsidR="00145CE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C204DB">
              <w:rPr>
                <w:rFonts w:asciiTheme="minorHAnsi" w:hAnsiTheme="minorHAnsi"/>
                <w:color w:val="000000"/>
                <w:szCs w:val="22"/>
              </w:rPr>
              <w:t>Explain emergency procedures to follow in the event of any emergency arise involving dangerous goods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Bdr>
                <w:left w:val="single" w:sz="12" w:space="4" w:color="000000"/>
              </w:pBdr>
              <w:spacing w:before="20" w:after="20" w:line="240" w:lineRule="auto"/>
              <w:rPr>
                <w:color w:val="000000"/>
              </w:rPr>
            </w:pPr>
            <w:r w:rsidRPr="00C204DB">
              <w:rPr>
                <w:color w:val="000000"/>
              </w:rPr>
              <w:t>6. Know how to secure vehicles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6.1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different securing methods available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6.2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different securing points which may be found on vehicles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6.3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the different securing points and devices which may be found on a vessel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6.4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how different items of equipment are used to secure a vehicle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6.5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how a vehicle’s own fittings may be used to assist in securing the vehicle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6.6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E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xplain the maintenance of securing equipment</w:t>
            </w:r>
          </w:p>
          <w:p w:rsidR="000B4CE5" w:rsidRPr="00C204DB" w:rsidRDefault="000B4CE5" w:rsidP="00915E87">
            <w:pPr>
              <w:pStyle w:val="text1"/>
              <w:numPr>
                <w:ilvl w:val="0"/>
                <w:numId w:val="0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pacing w:val="-3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6.7 </w:t>
            </w:r>
            <w:r w:rsidR="00145CE7">
              <w:rPr>
                <w:rFonts w:asciiTheme="minorHAnsi" w:hAnsiTheme="minorHAnsi" w:cs="Arial"/>
                <w:color w:val="000000"/>
                <w:spacing w:val="-3"/>
                <w:szCs w:val="22"/>
              </w:rPr>
              <w:t xml:space="preserve"> </w:t>
            </w:r>
            <w:r w:rsidRPr="00C204DB">
              <w:rPr>
                <w:rFonts w:asciiTheme="minorHAnsi" w:hAnsiTheme="minorHAnsi" w:cs="Arial"/>
                <w:color w:val="000000"/>
                <w:spacing w:val="-3"/>
                <w:szCs w:val="22"/>
              </w:rPr>
              <w:t>Explain how to assess the number and level of vehicle securing devices to be used taking account of forecast sea and weather conditions, and vessel condition and limitations</w:t>
            </w:r>
          </w:p>
        </w:tc>
      </w:tr>
      <w:tr w:rsidR="000B4CE5" w:rsidRPr="00C204DB" w:rsidTr="00915E87">
        <w:tc>
          <w:tcPr>
            <w:tcW w:w="3960" w:type="dxa"/>
            <w:gridSpan w:val="2"/>
          </w:tcPr>
          <w:p w:rsidR="000B4CE5" w:rsidRPr="00C204DB" w:rsidRDefault="000B4CE5" w:rsidP="00915E87">
            <w:pPr>
              <w:pBdr>
                <w:left w:val="single" w:sz="12" w:space="4" w:color="000000"/>
              </w:pBdr>
              <w:spacing w:before="20" w:after="20" w:line="240" w:lineRule="auto"/>
              <w:rPr>
                <w:color w:val="000000"/>
              </w:rPr>
            </w:pPr>
            <w:r w:rsidRPr="00C204DB">
              <w:rPr>
                <w:color w:val="000000"/>
              </w:rPr>
              <w:t>7. Know how to control vehicle deck atmosphere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tabs>
                <w:tab w:val="left" w:pos="0"/>
              </w:tabs>
              <w:suppressAutoHyphens/>
              <w:spacing w:before="20" w:after="20" w:line="240" w:lineRule="auto"/>
              <w:outlineLvl w:val="0"/>
              <w:rPr>
                <w:color w:val="000000"/>
                <w:spacing w:val="-3"/>
              </w:rPr>
            </w:pPr>
            <w:r w:rsidRPr="00C204DB">
              <w:rPr>
                <w:color w:val="000000"/>
                <w:spacing w:val="-3"/>
              </w:rPr>
              <w:t xml:space="preserve">7.1 </w:t>
            </w:r>
            <w:r w:rsidR="00145CE7">
              <w:rPr>
                <w:color w:val="000000"/>
                <w:spacing w:val="-3"/>
              </w:rPr>
              <w:t xml:space="preserve"> </w:t>
            </w:r>
            <w:r w:rsidRPr="00C204DB">
              <w:rPr>
                <w:color w:val="000000"/>
                <w:spacing w:val="-3"/>
              </w:rPr>
              <w:t>Explain the requirements for vehicle deck ventilation</w:t>
            </w:r>
          </w:p>
          <w:p w:rsidR="000B4CE5" w:rsidRPr="00C204DB" w:rsidRDefault="000B4CE5" w:rsidP="00915E87">
            <w:pPr>
              <w:tabs>
                <w:tab w:val="left" w:pos="0"/>
              </w:tabs>
              <w:suppressAutoHyphens/>
              <w:spacing w:before="20" w:after="20" w:line="240" w:lineRule="auto"/>
              <w:outlineLvl w:val="0"/>
              <w:rPr>
                <w:color w:val="000000"/>
                <w:spacing w:val="-3"/>
              </w:rPr>
            </w:pPr>
            <w:r w:rsidRPr="00C204DB">
              <w:rPr>
                <w:color w:val="000000"/>
                <w:spacing w:val="-3"/>
              </w:rPr>
              <w:t xml:space="preserve">7.2 </w:t>
            </w:r>
            <w:r w:rsidR="00145CE7">
              <w:rPr>
                <w:color w:val="000000"/>
                <w:spacing w:val="-3"/>
              </w:rPr>
              <w:t xml:space="preserve"> </w:t>
            </w:r>
            <w:r w:rsidRPr="00C204DB">
              <w:rPr>
                <w:color w:val="000000"/>
                <w:spacing w:val="-3"/>
              </w:rPr>
              <w:t>Explain the operation of ventilation machinery</w:t>
            </w:r>
          </w:p>
          <w:p w:rsidR="000B4CE5" w:rsidRPr="00C204DB" w:rsidRDefault="000B4CE5" w:rsidP="00915E87">
            <w:pPr>
              <w:tabs>
                <w:tab w:val="left" w:pos="0"/>
              </w:tabs>
              <w:suppressAutoHyphens/>
              <w:spacing w:before="20" w:after="20" w:line="240" w:lineRule="auto"/>
              <w:outlineLvl w:val="0"/>
              <w:rPr>
                <w:color w:val="000000"/>
                <w:spacing w:val="-3"/>
              </w:rPr>
            </w:pPr>
            <w:r w:rsidRPr="00C204DB">
              <w:rPr>
                <w:color w:val="000000"/>
                <w:spacing w:val="-3"/>
              </w:rPr>
              <w:t xml:space="preserve">7.3 </w:t>
            </w:r>
            <w:r w:rsidR="00145CE7">
              <w:rPr>
                <w:color w:val="000000"/>
                <w:spacing w:val="-3"/>
              </w:rPr>
              <w:t xml:space="preserve"> </w:t>
            </w:r>
            <w:r w:rsidRPr="00C204DB">
              <w:rPr>
                <w:color w:val="000000"/>
                <w:spacing w:val="-3"/>
              </w:rPr>
              <w:t>Explain the different levels of ventilation which may be required during loading and discharging, and on passage</w:t>
            </w:r>
          </w:p>
          <w:p w:rsidR="000B4CE5" w:rsidRPr="00C204DB" w:rsidRDefault="000B4CE5" w:rsidP="00915E87">
            <w:pPr>
              <w:tabs>
                <w:tab w:val="left" w:pos="0"/>
              </w:tabs>
              <w:suppressAutoHyphens/>
              <w:spacing w:before="20" w:after="20" w:line="240" w:lineRule="auto"/>
              <w:outlineLvl w:val="0"/>
              <w:rPr>
                <w:color w:val="000000"/>
                <w:spacing w:val="-3"/>
              </w:rPr>
            </w:pPr>
            <w:r w:rsidRPr="00C204DB">
              <w:rPr>
                <w:color w:val="000000"/>
                <w:spacing w:val="-3"/>
              </w:rPr>
              <w:t xml:space="preserve">7.4 </w:t>
            </w:r>
            <w:r w:rsidR="00145CE7">
              <w:rPr>
                <w:color w:val="000000"/>
                <w:spacing w:val="-3"/>
              </w:rPr>
              <w:t xml:space="preserve"> </w:t>
            </w:r>
            <w:r w:rsidRPr="00C204DB">
              <w:rPr>
                <w:color w:val="000000"/>
                <w:spacing w:val="-3"/>
              </w:rPr>
              <w:t xml:space="preserve">Explain how the atmosphere can be tested </w:t>
            </w:r>
          </w:p>
        </w:tc>
      </w:tr>
    </w:tbl>
    <w:p w:rsidR="00A27C74" w:rsidRDefault="00A27C7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538"/>
      </w:tblGrid>
      <w:tr w:rsidR="000B4CE5" w:rsidRPr="00C204DB" w:rsidTr="00915E87">
        <w:tc>
          <w:tcPr>
            <w:tcW w:w="3960" w:type="dxa"/>
            <w:tcBorders>
              <w:right w:val="nil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lastRenderedPageBreak/>
              <w:t>Additional information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0B4CE5" w:rsidRPr="00C204DB" w:rsidRDefault="000B4CE5" w:rsidP="00915E87">
            <w:pPr>
              <w:spacing w:before="20" w:after="20"/>
              <w:rPr>
                <w:color w:val="000000"/>
              </w:rPr>
            </w:pP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</w:tcPr>
          <w:p w:rsidR="000B4CE5" w:rsidRPr="00E251F8" w:rsidRDefault="000B4CE5" w:rsidP="00E251F8">
            <w:pPr>
              <w:spacing w:before="20" w:after="20"/>
              <w:rPr>
                <w:color w:val="000000"/>
              </w:rPr>
            </w:pPr>
            <w:r w:rsidRPr="00C204DB">
              <w:rPr>
                <w:color w:val="000000"/>
              </w:rPr>
              <w:t>This unit</w:t>
            </w:r>
            <w:r w:rsidR="00E251F8">
              <w:rPr>
                <w:color w:val="000000"/>
              </w:rPr>
              <w:t xml:space="preserve"> is designed for study by those </w:t>
            </w:r>
            <w:r w:rsidRPr="00C204DB">
              <w:rPr>
                <w:color w:val="000000"/>
              </w:rPr>
              <w:t xml:space="preserve">working towards meeting the requirements for a BML </w:t>
            </w:r>
            <w:r w:rsidR="00E251F8">
              <w:rPr>
                <w:color w:val="000000"/>
              </w:rPr>
              <w:t xml:space="preserve">(Boatmaster Licence) </w:t>
            </w:r>
            <w:r w:rsidR="00A27C74">
              <w:rPr>
                <w:color w:val="000000"/>
              </w:rPr>
              <w:t>Ro-Ro</w:t>
            </w:r>
            <w:r w:rsidRPr="00C204DB">
              <w:rPr>
                <w:color w:val="000000"/>
              </w:rPr>
              <w:t xml:space="preserve"> Operations Endorsement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spacing w:before="20" w:after="20"/>
            </w:pPr>
            <w:r w:rsidRPr="00C204DB">
              <w:t xml:space="preserve">The aim of the unit is to provide the knowledge underpinning proficiency for controlling </w:t>
            </w:r>
            <w:r w:rsidR="00A27C74">
              <w:t>Ro-Ro</w:t>
            </w:r>
            <w:r w:rsidRPr="00C204DB">
              <w:t xml:space="preserve"> operations on domestic vessels, including the </w:t>
            </w:r>
            <w:r w:rsidRPr="00C204DB">
              <w:rPr>
                <w:color w:val="000000"/>
              </w:rPr>
              <w:t xml:space="preserve">requirements for a BML </w:t>
            </w:r>
            <w:r w:rsidR="00A27C74">
              <w:rPr>
                <w:color w:val="000000"/>
              </w:rPr>
              <w:t>Ro-Ro</w:t>
            </w:r>
            <w:r w:rsidRPr="00C204DB">
              <w:rPr>
                <w:color w:val="000000"/>
              </w:rPr>
              <w:t xml:space="preserve"> Operations Endorsement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CE5" w:rsidRPr="00A27C74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MSA Maritime NOS 2012: A01, B14, B35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MCA syllabus for the BML </w:t>
            </w:r>
            <w:r w:rsidR="00A27C74">
              <w:rPr>
                <w:rFonts w:asciiTheme="minorHAnsi" w:hAnsiTheme="minorHAnsi" w:cs="Arial"/>
                <w:bCs/>
                <w:sz w:val="22"/>
                <w:szCs w:val="22"/>
              </w:rPr>
              <w:t>Ro-Ro</w:t>
            </w: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Operations Endorsement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0B4CE5" w:rsidRPr="00C204DB" w:rsidRDefault="007D6E87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Knowledge will be tested either in writing or orally, (and if the latter subsequently recorded).  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sz w:val="22"/>
                <w:szCs w:val="22"/>
              </w:rPr>
              <w:t>Maritime Skills Alliance</w:t>
            </w:r>
          </w:p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sz w:val="22"/>
                <w:szCs w:val="22"/>
              </w:rPr>
              <w:t>Maritime &amp; Coastguard Agency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sz w:val="22"/>
                <w:szCs w:val="22"/>
              </w:rPr>
              <w:t>Transportation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0B4CE5" w:rsidRPr="00C204DB" w:rsidRDefault="00E251F8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SQA, for the Maritime Skills Alliance</w:t>
            </w: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CE5" w:rsidRPr="00C204DB" w:rsidTr="00915E87">
        <w:tc>
          <w:tcPr>
            <w:tcW w:w="3960" w:type="dxa"/>
          </w:tcPr>
          <w:p w:rsidR="000B4CE5" w:rsidRPr="00C204DB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04DB">
              <w:rPr>
                <w:rFonts w:asciiTheme="minorHAnsi" w:hAnsiTheme="minorHAns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0B4CE5" w:rsidRPr="000B4CE5" w:rsidRDefault="000B4CE5" w:rsidP="00915E87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B4CE5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</w:tbl>
    <w:p w:rsidR="00E46E41" w:rsidRDefault="00E46E41"/>
    <w:sectPr w:rsidR="00E46E41" w:rsidSect="00E4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3E"/>
    <w:multiLevelType w:val="singleLevel"/>
    <w:tmpl w:val="E7D6AE2E"/>
    <w:lvl w:ilvl="0">
      <w:start w:val="1"/>
      <w:numFmt w:val="lowerLetter"/>
      <w:pStyle w:val="text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</w:abstractNum>
  <w:abstractNum w:abstractNumId="1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2">
    <w:nsid w:val="3AC31BE7"/>
    <w:multiLevelType w:val="hybridMultilevel"/>
    <w:tmpl w:val="42B819E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86D9E"/>
    <w:multiLevelType w:val="hybridMultilevel"/>
    <w:tmpl w:val="3BB296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0B4CE5"/>
    <w:rsid w:val="000623AB"/>
    <w:rsid w:val="00070839"/>
    <w:rsid w:val="00086CC1"/>
    <w:rsid w:val="000B4CE5"/>
    <w:rsid w:val="00121931"/>
    <w:rsid w:val="00127489"/>
    <w:rsid w:val="00143F20"/>
    <w:rsid w:val="001447D2"/>
    <w:rsid w:val="00145CE7"/>
    <w:rsid w:val="00164147"/>
    <w:rsid w:val="00173590"/>
    <w:rsid w:val="001A4639"/>
    <w:rsid w:val="001B24E9"/>
    <w:rsid w:val="001F1C12"/>
    <w:rsid w:val="001F6E27"/>
    <w:rsid w:val="002301AB"/>
    <w:rsid w:val="00242A49"/>
    <w:rsid w:val="002D40C8"/>
    <w:rsid w:val="003416A5"/>
    <w:rsid w:val="00344629"/>
    <w:rsid w:val="00346E07"/>
    <w:rsid w:val="003D5391"/>
    <w:rsid w:val="0045094B"/>
    <w:rsid w:val="00450BC6"/>
    <w:rsid w:val="004712D5"/>
    <w:rsid w:val="004803B3"/>
    <w:rsid w:val="004842C6"/>
    <w:rsid w:val="00496BD4"/>
    <w:rsid w:val="00572CB9"/>
    <w:rsid w:val="00575568"/>
    <w:rsid w:val="0057570F"/>
    <w:rsid w:val="005A4F02"/>
    <w:rsid w:val="005F3A15"/>
    <w:rsid w:val="00602622"/>
    <w:rsid w:val="00676B01"/>
    <w:rsid w:val="00691BF0"/>
    <w:rsid w:val="006A20E6"/>
    <w:rsid w:val="006C39D1"/>
    <w:rsid w:val="006E4237"/>
    <w:rsid w:val="006E54F2"/>
    <w:rsid w:val="007047B9"/>
    <w:rsid w:val="00715DCF"/>
    <w:rsid w:val="00782D67"/>
    <w:rsid w:val="007A3D5D"/>
    <w:rsid w:val="007B29D1"/>
    <w:rsid w:val="007D6E87"/>
    <w:rsid w:val="007E70CA"/>
    <w:rsid w:val="007F0111"/>
    <w:rsid w:val="00815D64"/>
    <w:rsid w:val="00817043"/>
    <w:rsid w:val="00831C1D"/>
    <w:rsid w:val="00846ED7"/>
    <w:rsid w:val="008765CB"/>
    <w:rsid w:val="008911BF"/>
    <w:rsid w:val="00894821"/>
    <w:rsid w:val="008B1722"/>
    <w:rsid w:val="008D36D2"/>
    <w:rsid w:val="008D46E5"/>
    <w:rsid w:val="008F5506"/>
    <w:rsid w:val="00922851"/>
    <w:rsid w:val="009328C9"/>
    <w:rsid w:val="00941ACA"/>
    <w:rsid w:val="00951C5F"/>
    <w:rsid w:val="00962C8B"/>
    <w:rsid w:val="009A739D"/>
    <w:rsid w:val="009E4C20"/>
    <w:rsid w:val="00A27C74"/>
    <w:rsid w:val="00A35074"/>
    <w:rsid w:val="00A87CB1"/>
    <w:rsid w:val="00A93DDE"/>
    <w:rsid w:val="00AB30E6"/>
    <w:rsid w:val="00AB5899"/>
    <w:rsid w:val="00AF46E3"/>
    <w:rsid w:val="00B037AE"/>
    <w:rsid w:val="00B139E8"/>
    <w:rsid w:val="00B16BA0"/>
    <w:rsid w:val="00B22A14"/>
    <w:rsid w:val="00B92C04"/>
    <w:rsid w:val="00BA06E1"/>
    <w:rsid w:val="00C26ACF"/>
    <w:rsid w:val="00C310FC"/>
    <w:rsid w:val="00C31B71"/>
    <w:rsid w:val="00C3579F"/>
    <w:rsid w:val="00C548D9"/>
    <w:rsid w:val="00C76D7F"/>
    <w:rsid w:val="00CA2E9D"/>
    <w:rsid w:val="00CD4D74"/>
    <w:rsid w:val="00CF40C3"/>
    <w:rsid w:val="00D26C20"/>
    <w:rsid w:val="00D64758"/>
    <w:rsid w:val="00D75D76"/>
    <w:rsid w:val="00D86BAD"/>
    <w:rsid w:val="00DB7F39"/>
    <w:rsid w:val="00E251F8"/>
    <w:rsid w:val="00E33865"/>
    <w:rsid w:val="00E371B0"/>
    <w:rsid w:val="00E3721F"/>
    <w:rsid w:val="00E46E41"/>
    <w:rsid w:val="00EB7EC5"/>
    <w:rsid w:val="00ED7591"/>
    <w:rsid w:val="00EF6045"/>
    <w:rsid w:val="00F0665E"/>
    <w:rsid w:val="00F4608F"/>
    <w:rsid w:val="00F9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Number">
    <w:name w:val="Table List Number"/>
    <w:basedOn w:val="TableText"/>
    <w:semiHidden/>
    <w:rsid w:val="000B4CE5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0B4CE5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0B4CE5"/>
    <w:rPr>
      <w:b/>
    </w:rPr>
  </w:style>
  <w:style w:type="paragraph" w:customStyle="1" w:styleId="Knowledge">
    <w:name w:val="Knowledge"/>
    <w:basedOn w:val="Normal"/>
    <w:rsid w:val="000B4CE5"/>
    <w:pPr>
      <w:spacing w:before="120" w:after="120" w:line="240" w:lineRule="auto"/>
    </w:pPr>
    <w:rPr>
      <w:rFonts w:ascii="Arial" w:eastAsia="Times New Roman" w:hAnsi="Arial" w:cs="Times New Roman"/>
      <w:szCs w:val="24"/>
    </w:rPr>
  </w:style>
  <w:style w:type="paragraph" w:customStyle="1" w:styleId="text1">
    <w:name w:val="text1"/>
    <w:basedOn w:val="Normal"/>
    <w:rsid w:val="000B4CE5"/>
    <w:pPr>
      <w:numPr>
        <w:numId w:val="2"/>
      </w:numPr>
      <w:spacing w:before="60" w:after="60" w:line="260" w:lineRule="atLeas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5</cp:revision>
  <dcterms:created xsi:type="dcterms:W3CDTF">2015-02-20T12:35:00Z</dcterms:created>
  <dcterms:modified xsi:type="dcterms:W3CDTF">2015-02-20T14:19:00Z</dcterms:modified>
</cp:coreProperties>
</file>