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2337"/>
        <w:gridCol w:w="745"/>
        <w:gridCol w:w="4714"/>
      </w:tblGrid>
      <w:tr w:rsidR="00924E2C" w:rsidRPr="00225198" w:rsidTr="00225198"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E2C" w:rsidRPr="00225198" w:rsidRDefault="00E96736" w:rsidP="00924E2C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225198">
              <w:rPr>
                <w:rFonts w:ascii="Calibri" w:hAnsi="Calibri"/>
                <w:b/>
                <w:sz w:val="22"/>
                <w:szCs w:val="22"/>
              </w:rPr>
              <w:t>MSQ</w:t>
            </w:r>
            <w:bookmarkStart w:id="0" w:name="_GoBack"/>
            <w:bookmarkEnd w:id="0"/>
            <w:r w:rsidR="00924E2C" w:rsidRPr="00225198">
              <w:rPr>
                <w:rFonts w:ascii="Calibri" w:hAnsi="Calibri"/>
                <w:b/>
                <w:sz w:val="22"/>
                <w:szCs w:val="22"/>
              </w:rPr>
              <w:t xml:space="preserve"> Unit 56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E2C" w:rsidRPr="00225198" w:rsidRDefault="00924E2C" w:rsidP="00924E2C">
            <w:pPr>
              <w:pStyle w:val="TableText"/>
              <w:tabs>
                <w:tab w:val="left" w:pos="3285"/>
              </w:tabs>
              <w:spacing w:before="60" w:after="60" w:line="240" w:lineRule="auto"/>
              <w:jc w:val="right"/>
              <w:rPr>
                <w:rFonts w:ascii="Calibri" w:hAnsi="Calibri" w:cs="Gill Sans MT"/>
                <w:b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b/>
                <w:sz w:val="22"/>
                <w:szCs w:val="22"/>
              </w:rPr>
              <w:t>QCF Ref:  L/602/5769</w:t>
            </w:r>
          </w:p>
        </w:tc>
      </w:tr>
      <w:tr w:rsidR="00786D0B" w:rsidRPr="00225198" w:rsidTr="00225198">
        <w:tc>
          <w:tcPr>
            <w:tcW w:w="1774" w:type="dxa"/>
            <w:tcBorders>
              <w:top w:val="single" w:sz="4" w:space="0" w:color="auto"/>
            </w:tcBorders>
            <w:shd w:val="clear" w:color="auto" w:fill="FFFFFF"/>
          </w:tcPr>
          <w:p w:rsidR="00786D0B" w:rsidRPr="00225198" w:rsidRDefault="00786D0B" w:rsidP="00924E2C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Title: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86D0B" w:rsidRPr="00225198" w:rsidRDefault="00A537AF" w:rsidP="00924E2C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b/>
                <w:sz w:val="22"/>
                <w:szCs w:val="22"/>
              </w:rPr>
              <w:t>Marine engineering practice – An i</w:t>
            </w:r>
            <w:r w:rsidR="00786D0B" w:rsidRPr="00225198">
              <w:rPr>
                <w:rFonts w:ascii="Calibri" w:hAnsi="Calibri" w:cs="Gill Sans MT"/>
                <w:b/>
                <w:sz w:val="22"/>
                <w:szCs w:val="22"/>
              </w:rPr>
              <w:t>ntroduction</w:t>
            </w:r>
          </w:p>
        </w:tc>
      </w:tr>
      <w:tr w:rsidR="00786D0B" w:rsidRPr="00225198" w:rsidTr="00225198">
        <w:tc>
          <w:tcPr>
            <w:tcW w:w="1774" w:type="dxa"/>
            <w:shd w:val="clear" w:color="auto" w:fill="FFFFFF"/>
          </w:tcPr>
          <w:p w:rsidR="00786D0B" w:rsidRPr="00225198" w:rsidRDefault="00A537AF" w:rsidP="00924E2C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 xml:space="preserve">QCF </w:t>
            </w:r>
            <w:r w:rsidR="00786D0B" w:rsidRPr="00225198">
              <w:rPr>
                <w:rFonts w:ascii="Calibri" w:hAnsi="Calibri" w:cs="Gill Sans MT"/>
                <w:sz w:val="22"/>
                <w:szCs w:val="22"/>
              </w:rPr>
              <w:t>Level:</w:t>
            </w:r>
          </w:p>
        </w:tc>
        <w:tc>
          <w:tcPr>
            <w:tcW w:w="7796" w:type="dxa"/>
            <w:gridSpan w:val="3"/>
            <w:shd w:val="clear" w:color="auto" w:fill="FFFFFF"/>
          </w:tcPr>
          <w:p w:rsidR="00786D0B" w:rsidRPr="00225198" w:rsidRDefault="00786D0B" w:rsidP="00924E2C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b/>
                <w:sz w:val="22"/>
                <w:szCs w:val="22"/>
              </w:rPr>
              <w:t>2</w:t>
            </w:r>
          </w:p>
        </w:tc>
      </w:tr>
      <w:tr w:rsidR="00786D0B" w:rsidRPr="00225198" w:rsidTr="00225198">
        <w:tc>
          <w:tcPr>
            <w:tcW w:w="1774" w:type="dxa"/>
            <w:shd w:val="clear" w:color="auto" w:fill="FFFFFF"/>
          </w:tcPr>
          <w:p w:rsidR="00786D0B" w:rsidRPr="00225198" w:rsidRDefault="00786D0B" w:rsidP="00924E2C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Credit value:</w:t>
            </w:r>
          </w:p>
        </w:tc>
        <w:tc>
          <w:tcPr>
            <w:tcW w:w="7796" w:type="dxa"/>
            <w:gridSpan w:val="3"/>
            <w:shd w:val="clear" w:color="auto" w:fill="FFFFFF"/>
          </w:tcPr>
          <w:p w:rsidR="00786D0B" w:rsidRPr="00225198" w:rsidRDefault="00786D0B" w:rsidP="00924E2C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b/>
                <w:sz w:val="22"/>
                <w:szCs w:val="22"/>
              </w:rPr>
              <w:t>6</w:t>
            </w:r>
          </w:p>
        </w:tc>
      </w:tr>
      <w:tr w:rsidR="00786D0B" w:rsidRPr="00225198" w:rsidTr="00225198">
        <w:trPr>
          <w:trHeight w:val="70"/>
        </w:trPr>
        <w:tc>
          <w:tcPr>
            <w:tcW w:w="4111" w:type="dxa"/>
            <w:gridSpan w:val="2"/>
            <w:shd w:val="clear" w:color="auto" w:fill="FFFFFF"/>
          </w:tcPr>
          <w:p w:rsidR="00786D0B" w:rsidRPr="00225198" w:rsidRDefault="00924E2C" w:rsidP="00924E2C">
            <w:pPr>
              <w:pStyle w:val="TableColumnHeader"/>
              <w:spacing w:before="60" w:after="6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 xml:space="preserve">Learning outcomes - </w:t>
            </w:r>
            <w:r w:rsidR="00786D0B" w:rsidRPr="00225198">
              <w:rPr>
                <w:rFonts w:ascii="Calibri" w:hAnsi="Calibr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459" w:type="dxa"/>
            <w:gridSpan w:val="2"/>
            <w:shd w:val="clear" w:color="auto" w:fill="FFFFFF"/>
          </w:tcPr>
          <w:p w:rsidR="00786D0B" w:rsidRPr="00225198" w:rsidRDefault="00924E2C" w:rsidP="00924E2C">
            <w:pPr>
              <w:pStyle w:val="TableColumnHeader"/>
              <w:tabs>
                <w:tab w:val="left" w:pos="2307"/>
                <w:tab w:val="left" w:pos="2790"/>
              </w:tabs>
              <w:spacing w:before="60" w:after="6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 xml:space="preserve">Assessment criteria - </w:t>
            </w:r>
            <w:r w:rsidR="00786D0B" w:rsidRPr="00225198">
              <w:rPr>
                <w:rFonts w:ascii="Calibri" w:hAnsi="Calibr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786D0B" w:rsidRPr="00225198" w:rsidTr="00225198">
        <w:trPr>
          <w:cantSplit/>
        </w:trPr>
        <w:tc>
          <w:tcPr>
            <w:tcW w:w="4111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TableListNumber"/>
              <w:numPr>
                <w:ilvl w:val="0"/>
                <w:numId w:val="11"/>
              </w:numPr>
              <w:tabs>
                <w:tab w:val="clear" w:pos="298"/>
                <w:tab w:val="left" w:pos="248"/>
              </w:tabs>
              <w:spacing w:before="40" w:after="40" w:line="240" w:lineRule="auto"/>
              <w:ind w:left="248" w:right="175" w:hanging="248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Understand the construction of motor propulsion plant</w:t>
            </w:r>
          </w:p>
        </w:tc>
        <w:tc>
          <w:tcPr>
            <w:tcW w:w="5459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Explain the difference between 2-stroke and 4-stroke cycles</w:t>
            </w:r>
          </w:p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Describe the component parts of a marine diesel engine</w:t>
            </w:r>
          </w:p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Describe the support systems for a marine diesel engine</w:t>
            </w:r>
          </w:p>
        </w:tc>
      </w:tr>
      <w:tr w:rsidR="00786D0B" w:rsidRPr="00225198" w:rsidTr="00225198">
        <w:trPr>
          <w:cantSplit/>
        </w:trPr>
        <w:tc>
          <w:tcPr>
            <w:tcW w:w="4111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TableListNumber"/>
              <w:numPr>
                <w:ilvl w:val="0"/>
                <w:numId w:val="11"/>
              </w:numPr>
              <w:tabs>
                <w:tab w:val="clear" w:pos="298"/>
                <w:tab w:val="left" w:pos="248"/>
              </w:tabs>
              <w:spacing w:before="40" w:after="40" w:line="240" w:lineRule="auto"/>
              <w:ind w:left="248" w:right="175" w:hanging="248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 xml:space="preserve">Understand the construction of steam </w:t>
            </w:r>
            <w:r w:rsidR="003138AD" w:rsidRPr="00225198">
              <w:rPr>
                <w:rFonts w:ascii="Calibri" w:hAnsi="Calibri" w:cs="Gill Sans MT"/>
                <w:sz w:val="22"/>
                <w:szCs w:val="22"/>
              </w:rPr>
              <w:fldChar w:fldCharType="begin"/>
            </w:r>
            <w:r w:rsidRPr="00225198">
              <w:rPr>
                <w:rFonts w:ascii="Calibri" w:hAnsi="Calibri" w:cs="Gill Sans MT"/>
                <w:sz w:val="22"/>
                <w:szCs w:val="22"/>
              </w:rPr>
              <w:instrText xml:space="preserve">  </w:instrText>
            </w:r>
            <w:r w:rsidR="003138AD" w:rsidRPr="00225198">
              <w:rPr>
                <w:rFonts w:ascii="Calibri" w:hAnsi="Calibri" w:cs="Gill Sans MT"/>
                <w:sz w:val="22"/>
                <w:szCs w:val="22"/>
              </w:rPr>
              <w:fldChar w:fldCharType="end"/>
            </w:r>
            <w:r w:rsidRPr="00225198">
              <w:rPr>
                <w:rFonts w:ascii="Calibri" w:hAnsi="Calibri" w:cs="Gill Sans MT"/>
                <w:sz w:val="22"/>
                <w:szCs w:val="22"/>
              </w:rPr>
              <w:t>propulsion plant</w:t>
            </w:r>
          </w:p>
        </w:tc>
        <w:tc>
          <w:tcPr>
            <w:tcW w:w="5459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 xml:space="preserve">Describe the layout of a marine steam propulsion plant </w:t>
            </w:r>
          </w:p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Describe the component parts of a marine boiler</w:t>
            </w:r>
          </w:p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Describe the component parts of a marine steam turbine</w:t>
            </w:r>
          </w:p>
        </w:tc>
      </w:tr>
      <w:tr w:rsidR="00786D0B" w:rsidRPr="00225198" w:rsidTr="00225198">
        <w:trPr>
          <w:cantSplit/>
        </w:trPr>
        <w:tc>
          <w:tcPr>
            <w:tcW w:w="4111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TableListNumber"/>
              <w:numPr>
                <w:ilvl w:val="0"/>
                <w:numId w:val="11"/>
              </w:numPr>
              <w:tabs>
                <w:tab w:val="clear" w:pos="298"/>
                <w:tab w:val="left" w:pos="248"/>
              </w:tabs>
              <w:spacing w:before="40" w:after="40" w:line="240" w:lineRule="auto"/>
              <w:ind w:left="248" w:right="175" w:hanging="248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Understand the principles of pumps and pumping systems</w:t>
            </w:r>
          </w:p>
          <w:p w:rsidR="00786D0B" w:rsidRPr="00225198" w:rsidRDefault="00786D0B" w:rsidP="00924E2C">
            <w:pPr>
              <w:pStyle w:val="ListNumber"/>
              <w:numPr>
                <w:ilvl w:val="0"/>
                <w:numId w:val="0"/>
              </w:numPr>
              <w:tabs>
                <w:tab w:val="left" w:pos="248"/>
              </w:tabs>
              <w:spacing w:before="40" w:after="40"/>
              <w:ind w:left="248" w:right="175" w:hanging="248"/>
              <w:jc w:val="left"/>
              <w:rPr>
                <w:rFonts w:ascii="Calibri" w:hAnsi="Calibri" w:cs="Gill Sans MT"/>
              </w:rPr>
            </w:pPr>
          </w:p>
        </w:tc>
        <w:tc>
          <w:tcPr>
            <w:tcW w:w="5459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Explain the difference between dynamic and displacement pumps</w:t>
            </w:r>
          </w:p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Describe the component parts of a centrifugal pump</w:t>
            </w:r>
          </w:p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Describe the constructional details of different types of displacement pumps</w:t>
            </w:r>
          </w:p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Describe typical pumping systems</w:t>
            </w:r>
          </w:p>
        </w:tc>
      </w:tr>
      <w:tr w:rsidR="00786D0B" w:rsidRPr="00225198" w:rsidTr="00225198">
        <w:trPr>
          <w:cantSplit/>
          <w:trHeight w:val="688"/>
        </w:trPr>
        <w:tc>
          <w:tcPr>
            <w:tcW w:w="4111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TableListNumber"/>
              <w:numPr>
                <w:ilvl w:val="0"/>
                <w:numId w:val="11"/>
              </w:numPr>
              <w:tabs>
                <w:tab w:val="clear" w:pos="298"/>
                <w:tab w:val="left" w:pos="248"/>
              </w:tabs>
              <w:spacing w:before="40" w:after="40" w:line="240" w:lineRule="auto"/>
              <w:ind w:left="248" w:right="175" w:hanging="248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Understand auxiliary systems onboard ship</w:t>
            </w:r>
          </w:p>
        </w:tc>
        <w:tc>
          <w:tcPr>
            <w:tcW w:w="5459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Describe shipboard pneumatic systems</w:t>
            </w:r>
          </w:p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Describe shipboard refrigeration and air conditioning systems</w:t>
            </w:r>
          </w:p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 xml:space="preserve">Describe the operation of deck and cargo handling machinery </w:t>
            </w:r>
          </w:p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Describe the operation of fresh water generation and sewage plant</w:t>
            </w:r>
          </w:p>
          <w:p w:rsidR="00786D0B" w:rsidRPr="00225198" w:rsidRDefault="00786D0B" w:rsidP="00924E2C">
            <w:pPr>
              <w:pStyle w:val="ListNumber"/>
              <w:numPr>
                <w:ilvl w:val="1"/>
                <w:numId w:val="11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225198">
              <w:rPr>
                <w:rFonts w:ascii="Calibri" w:hAnsi="Calibri" w:cs="Gill Sans MT"/>
              </w:rPr>
              <w:t>Describe the regulations regarding oil pollution from ships</w:t>
            </w:r>
          </w:p>
        </w:tc>
      </w:tr>
      <w:tr w:rsidR="00786D0B" w:rsidRPr="00225198" w:rsidTr="00225198">
        <w:tc>
          <w:tcPr>
            <w:tcW w:w="4111" w:type="dxa"/>
            <w:gridSpan w:val="2"/>
            <w:tcBorders>
              <w:right w:val="nil"/>
            </w:tcBorders>
            <w:shd w:val="clear" w:color="auto" w:fill="FFFFFF"/>
          </w:tcPr>
          <w:p w:rsidR="00786D0B" w:rsidRPr="00225198" w:rsidRDefault="00786D0B" w:rsidP="00924E2C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bCs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459" w:type="dxa"/>
            <w:gridSpan w:val="2"/>
            <w:tcBorders>
              <w:left w:val="nil"/>
            </w:tcBorders>
            <w:shd w:val="clear" w:color="auto" w:fill="FFFFFF"/>
          </w:tcPr>
          <w:p w:rsidR="00786D0B" w:rsidRPr="00225198" w:rsidRDefault="00786D0B" w:rsidP="00924E2C">
            <w:pPr>
              <w:pStyle w:val="TableText"/>
              <w:spacing w:before="60" w:after="60" w:line="240" w:lineRule="auto"/>
              <w:ind w:left="185"/>
              <w:jc w:val="both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786D0B" w:rsidRPr="00225198" w:rsidTr="00225198">
        <w:tc>
          <w:tcPr>
            <w:tcW w:w="4111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Unit aim(s)</w:t>
            </w:r>
          </w:p>
        </w:tc>
        <w:tc>
          <w:tcPr>
            <w:tcW w:w="5459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To provide learners with knowledge and understanding of the machinery in a ship’s engine room and its interdependency</w:t>
            </w:r>
          </w:p>
        </w:tc>
      </w:tr>
      <w:tr w:rsidR="00786D0B" w:rsidRPr="00225198" w:rsidTr="00225198">
        <w:tc>
          <w:tcPr>
            <w:tcW w:w="4111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Unit expiry date</w:t>
            </w:r>
          </w:p>
        </w:tc>
        <w:tc>
          <w:tcPr>
            <w:tcW w:w="5459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786D0B" w:rsidRPr="00225198" w:rsidTr="00225198">
        <w:trPr>
          <w:cantSplit/>
        </w:trPr>
        <w:tc>
          <w:tcPr>
            <w:tcW w:w="4111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lastRenderedPageBreak/>
              <w:t>Details of the relationship between the unit and relevant national occupational standards (if appropriate)</w:t>
            </w:r>
          </w:p>
        </w:tc>
        <w:tc>
          <w:tcPr>
            <w:tcW w:w="5459" w:type="dxa"/>
            <w:gridSpan w:val="2"/>
            <w:shd w:val="clear" w:color="auto" w:fill="FFFFFF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MNTB NOS (Jan 2006) – A12 Respond to emergencies on board a vessel</w:t>
            </w:r>
          </w:p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A32 Maintain safe, legal and effective working practices on board a vessel</w:t>
            </w:r>
          </w:p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C03 Take charge of an engine room watch</w:t>
            </w:r>
          </w:p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C11 Prepare and operate vessel propulsion machinery and ancillary systems</w:t>
            </w:r>
          </w:p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C12 Operate vessel auxiliaries and service machinery</w:t>
            </w:r>
          </w:p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C34 Carry out maintenance of vessel mechanical machinery and systems</w:t>
            </w:r>
          </w:p>
        </w:tc>
      </w:tr>
      <w:tr w:rsidR="00786D0B" w:rsidRPr="00225198" w:rsidTr="002E7A5A">
        <w:tc>
          <w:tcPr>
            <w:tcW w:w="4111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459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 xml:space="preserve">Maritime and Coastguard Agency Marine Guidance Notice regarding Certificates of Competency – Engine Department </w:t>
            </w:r>
          </w:p>
        </w:tc>
      </w:tr>
      <w:tr w:rsidR="00786D0B" w:rsidRPr="00225198" w:rsidTr="002E7A5A">
        <w:tc>
          <w:tcPr>
            <w:tcW w:w="4111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459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MSA Assessment Strategy</w:t>
            </w:r>
          </w:p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MCA requirements</w:t>
            </w:r>
          </w:p>
        </w:tc>
      </w:tr>
      <w:tr w:rsidR="00786D0B" w:rsidRPr="00225198" w:rsidTr="002E7A5A">
        <w:tc>
          <w:tcPr>
            <w:tcW w:w="4111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459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MCA….</w:t>
            </w:r>
          </w:p>
        </w:tc>
      </w:tr>
      <w:tr w:rsidR="00786D0B" w:rsidRPr="00225198" w:rsidTr="002E7A5A">
        <w:tc>
          <w:tcPr>
            <w:tcW w:w="4111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459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Transportation</w:t>
            </w:r>
          </w:p>
        </w:tc>
      </w:tr>
      <w:tr w:rsidR="00786D0B" w:rsidRPr="00225198" w:rsidTr="002E7A5A">
        <w:tc>
          <w:tcPr>
            <w:tcW w:w="4111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459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Scottish Qualifications Authority</w:t>
            </w:r>
          </w:p>
        </w:tc>
      </w:tr>
      <w:tr w:rsidR="00786D0B" w:rsidRPr="00225198" w:rsidTr="002E7A5A">
        <w:tc>
          <w:tcPr>
            <w:tcW w:w="4111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Availability for use</w:t>
            </w:r>
          </w:p>
        </w:tc>
        <w:tc>
          <w:tcPr>
            <w:tcW w:w="5459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786D0B" w:rsidRPr="00225198" w:rsidTr="002E7A5A">
        <w:tc>
          <w:tcPr>
            <w:tcW w:w="4111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459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786D0B" w:rsidRPr="00225198" w:rsidTr="002E7A5A">
        <w:tc>
          <w:tcPr>
            <w:tcW w:w="4111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Guided Learning Hours</w:t>
            </w:r>
          </w:p>
        </w:tc>
        <w:tc>
          <w:tcPr>
            <w:tcW w:w="5459" w:type="dxa"/>
            <w:gridSpan w:val="2"/>
          </w:tcPr>
          <w:p w:rsidR="00786D0B" w:rsidRPr="00225198" w:rsidRDefault="00786D0B" w:rsidP="00924E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225198">
              <w:rPr>
                <w:rFonts w:ascii="Calibri" w:hAnsi="Calibri" w:cs="Gill Sans MT"/>
                <w:sz w:val="22"/>
                <w:szCs w:val="22"/>
              </w:rPr>
              <w:t>60</w:t>
            </w:r>
          </w:p>
        </w:tc>
      </w:tr>
    </w:tbl>
    <w:p w:rsidR="00786D0B" w:rsidRPr="00225198" w:rsidRDefault="00786D0B">
      <w:pPr>
        <w:rPr>
          <w:rFonts w:ascii="Calibri" w:hAnsi="Calibri" w:cs="Times New Roman"/>
        </w:rPr>
      </w:pPr>
    </w:p>
    <w:sectPr w:rsidR="00786D0B" w:rsidRPr="00225198" w:rsidSect="00924E2C"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98" w:rsidRDefault="00225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25198" w:rsidRDefault="00225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0B" w:rsidRDefault="00786D0B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Skill</w:t>
    </w:r>
    <w:r w:rsidR="00A537AF">
      <w:rPr>
        <w:rFonts w:ascii="Calibri" w:hAnsi="Calibri" w:cs="Calibri"/>
      </w:rPr>
      <w:t>s Alliance</w:t>
    </w:r>
    <w:r>
      <w:rPr>
        <w:rFonts w:ascii="Calibri" w:hAnsi="Calibri" w:cs="Calibri"/>
      </w:rPr>
      <w:tab/>
      <w:t xml:space="preserve"> Page </w:t>
    </w:r>
    <w:r w:rsidR="003138AD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3138AD">
      <w:rPr>
        <w:rFonts w:ascii="Calibri" w:hAnsi="Calibri" w:cs="Calibri"/>
      </w:rPr>
      <w:fldChar w:fldCharType="separate"/>
    </w:r>
    <w:r w:rsidR="00E96736">
      <w:rPr>
        <w:rFonts w:ascii="Calibri" w:hAnsi="Calibri" w:cs="Calibri"/>
        <w:noProof/>
      </w:rPr>
      <w:t>2</w:t>
    </w:r>
    <w:r w:rsidR="003138AD">
      <w:rPr>
        <w:rFonts w:ascii="Calibri" w:hAnsi="Calibri" w:cs="Calibri"/>
      </w:rPr>
      <w:fldChar w:fldCharType="end"/>
    </w:r>
  </w:p>
  <w:p w:rsidR="00786D0B" w:rsidRDefault="00786D0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98" w:rsidRDefault="00225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25198" w:rsidRDefault="00225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436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7" w15:restartNumberingAfterBreak="0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  <w:num w:numId="16">
    <w:abstractNumId w:val="0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D0B"/>
    <w:rsid w:val="00225198"/>
    <w:rsid w:val="002E7A5A"/>
    <w:rsid w:val="003138AD"/>
    <w:rsid w:val="00533B6F"/>
    <w:rsid w:val="00786D0B"/>
    <w:rsid w:val="00924E2C"/>
    <w:rsid w:val="00A537AF"/>
    <w:rsid w:val="00E96736"/>
    <w:rsid w:val="00F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3E0B34-FF59-40C0-A967-22F9036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8AD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38AD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38AD"/>
    <w:pPr>
      <w:keepNext/>
      <w:numPr>
        <w:numId w:val="13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rsid w:val="003138AD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rsid w:val="003138AD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138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138AD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3138AD"/>
    <w:pPr>
      <w:numPr>
        <w:numId w:val="9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3138AD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3138AD"/>
    <w:rPr>
      <w:b/>
      <w:bCs/>
    </w:rPr>
  </w:style>
  <w:style w:type="paragraph" w:customStyle="1" w:styleId="Knowledge">
    <w:name w:val="Knowledge"/>
    <w:basedOn w:val="Normal"/>
    <w:uiPriority w:val="99"/>
    <w:rsid w:val="003138AD"/>
    <w:pPr>
      <w:spacing w:before="120" w:after="120"/>
    </w:pPr>
  </w:style>
  <w:style w:type="paragraph" w:styleId="ListNumber">
    <w:name w:val="List Number"/>
    <w:basedOn w:val="Normal"/>
    <w:uiPriority w:val="99"/>
    <w:rsid w:val="003138AD"/>
    <w:pPr>
      <w:numPr>
        <w:ilvl w:val="1"/>
        <w:numId w:val="10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3138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138AD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2199</Characters>
  <Application>Microsoft Office Word</Application>
  <DocSecurity>0</DocSecurity>
  <Lines>18</Lines>
  <Paragraphs>5</Paragraphs>
  <ScaleCrop>false</ScaleCrop>
  <Company>Home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7</cp:revision>
  <dcterms:created xsi:type="dcterms:W3CDTF">2010-08-12T07:35:00Z</dcterms:created>
  <dcterms:modified xsi:type="dcterms:W3CDTF">2016-08-23T07:00:00Z</dcterms:modified>
</cp:coreProperties>
</file>