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43"/>
        <w:gridCol w:w="5538"/>
      </w:tblGrid>
      <w:tr w:rsidR="00D4391B">
        <w:tc>
          <w:tcPr>
            <w:tcW w:w="0" w:type="auto"/>
            <w:shd w:val="clear" w:color="auto" w:fill="99CCFF"/>
          </w:tcPr>
          <w:p w:rsidR="00D4391B" w:rsidRDefault="00D4391B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Title:</w:t>
            </w:r>
          </w:p>
        </w:tc>
        <w:tc>
          <w:tcPr>
            <w:tcW w:w="5538" w:type="dxa"/>
          </w:tcPr>
          <w:p w:rsidR="00D4391B" w:rsidRDefault="00D4391B">
            <w:pPr>
              <w:pStyle w:val="TableText"/>
              <w:tabs>
                <w:tab w:val="left" w:pos="3285"/>
              </w:tabs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Electrical circuits for marine engineers</w:t>
            </w:r>
          </w:p>
        </w:tc>
      </w:tr>
      <w:tr w:rsidR="00D4391B">
        <w:tc>
          <w:tcPr>
            <w:tcW w:w="0" w:type="auto"/>
            <w:shd w:val="clear" w:color="auto" w:fill="99CCFF"/>
          </w:tcPr>
          <w:p w:rsidR="00D4391B" w:rsidRDefault="00D4391B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Level:</w:t>
            </w:r>
          </w:p>
        </w:tc>
        <w:tc>
          <w:tcPr>
            <w:tcW w:w="5538" w:type="dxa"/>
          </w:tcPr>
          <w:p w:rsidR="00D4391B" w:rsidRDefault="00D4391B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2</w:t>
            </w:r>
          </w:p>
        </w:tc>
      </w:tr>
      <w:tr w:rsidR="00D4391B">
        <w:tc>
          <w:tcPr>
            <w:tcW w:w="0" w:type="auto"/>
            <w:shd w:val="clear" w:color="auto" w:fill="99CCFF"/>
          </w:tcPr>
          <w:p w:rsidR="00D4391B" w:rsidRDefault="00D4391B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Credit value:</w:t>
            </w:r>
          </w:p>
        </w:tc>
        <w:tc>
          <w:tcPr>
            <w:tcW w:w="5538" w:type="dxa"/>
          </w:tcPr>
          <w:p w:rsidR="00D4391B" w:rsidRDefault="00D4391B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5</w:t>
            </w:r>
          </w:p>
        </w:tc>
      </w:tr>
      <w:tr w:rsidR="00D4391B">
        <w:trPr>
          <w:trHeight w:val="70"/>
        </w:trPr>
        <w:tc>
          <w:tcPr>
            <w:tcW w:w="0" w:type="auto"/>
            <w:shd w:val="clear" w:color="auto" w:fill="99CCFF"/>
          </w:tcPr>
          <w:p w:rsidR="00D4391B" w:rsidRDefault="00D4391B">
            <w:pPr>
              <w:pStyle w:val="TableColumnHeader"/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Learning outcomes</w:t>
            </w:r>
            <w:r>
              <w:rPr>
                <w:rFonts w:ascii="Gill Sans MT" w:hAnsi="Gill Sans MT" w:cs="Gill Sans MT"/>
              </w:rPr>
              <w:br/>
            </w:r>
          </w:p>
          <w:p w:rsidR="00D4391B" w:rsidRDefault="00D4391B">
            <w:pPr>
              <w:pStyle w:val="TableColumnHeader"/>
              <w:spacing w:before="0"/>
              <w:rPr>
                <w:rFonts w:ascii="Gill Sans MT" w:hAnsi="Gill Sans MT" w:cs="Gill Sans MT"/>
                <w:b w:val="0"/>
                <w:bCs w:val="0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will:</w:t>
            </w:r>
          </w:p>
        </w:tc>
        <w:tc>
          <w:tcPr>
            <w:tcW w:w="5538" w:type="dxa"/>
            <w:shd w:val="clear" w:color="auto" w:fill="99CCFF"/>
          </w:tcPr>
          <w:p w:rsidR="00D4391B" w:rsidRDefault="00D4391B">
            <w:pPr>
              <w:pStyle w:val="TableColumnHeader"/>
              <w:tabs>
                <w:tab w:val="left" w:pos="2307"/>
                <w:tab w:val="left" w:pos="2790"/>
              </w:tabs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criteria</w:t>
            </w:r>
            <w:r>
              <w:rPr>
                <w:rFonts w:ascii="Gill Sans MT" w:hAnsi="Gill Sans MT" w:cs="Gill Sans MT"/>
              </w:rPr>
              <w:tab/>
            </w:r>
            <w:r>
              <w:rPr>
                <w:rFonts w:ascii="Gill Sans MT" w:hAnsi="Gill Sans MT" w:cs="Gill Sans MT"/>
              </w:rPr>
              <w:br/>
            </w:r>
          </w:p>
          <w:p w:rsidR="00D4391B" w:rsidRDefault="00D4391B">
            <w:pPr>
              <w:pStyle w:val="TableColumnHeader"/>
              <w:spacing w:before="0"/>
              <w:rPr>
                <w:rFonts w:ascii="Gill Sans MT" w:hAnsi="Gill Sans MT" w:cs="Gill Sans MT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can:</w:t>
            </w:r>
          </w:p>
        </w:tc>
      </w:tr>
      <w:tr w:rsidR="00D4391B">
        <w:trPr>
          <w:cantSplit/>
        </w:trPr>
        <w:tc>
          <w:tcPr>
            <w:tcW w:w="0" w:type="auto"/>
          </w:tcPr>
          <w:p w:rsidR="00D4391B" w:rsidRDefault="00D4391B">
            <w:pPr>
              <w:pStyle w:val="TableListNumber"/>
              <w:numPr>
                <w:ilvl w:val="0"/>
                <w:numId w:val="9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Understand the nature of electricity</w:t>
            </w:r>
          </w:p>
        </w:tc>
        <w:tc>
          <w:tcPr>
            <w:tcW w:w="5538" w:type="dxa"/>
          </w:tcPr>
          <w:p w:rsidR="00D4391B" w:rsidRDefault="00D4391B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theory of current flow in terms of electrical conductors</w:t>
            </w:r>
          </w:p>
          <w:p w:rsidR="00D4391B" w:rsidRDefault="00D4391B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circuit parameters in a dc resistive network.</w:t>
            </w:r>
          </w:p>
          <w:p w:rsidR="00D4391B" w:rsidRDefault="00D4391B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Explain the difference between an insulator and a conductor</w:t>
            </w:r>
          </w:p>
          <w:p w:rsidR="00D4391B" w:rsidRDefault="00D4391B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 xml:space="preserve">Describe the effect known as electrical resistance and its relationship to electrical conductors and temperature </w:t>
            </w:r>
          </w:p>
          <w:p w:rsidR="00D4391B" w:rsidRDefault="00D4391B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use of secondary cells and generators as an electrical source</w:t>
            </w:r>
          </w:p>
        </w:tc>
      </w:tr>
      <w:tr w:rsidR="00D4391B">
        <w:trPr>
          <w:cantSplit/>
        </w:trPr>
        <w:tc>
          <w:tcPr>
            <w:tcW w:w="0" w:type="auto"/>
          </w:tcPr>
          <w:p w:rsidR="00D4391B" w:rsidRDefault="00D4391B">
            <w:pPr>
              <w:pStyle w:val="TableListNumber"/>
              <w:numPr>
                <w:ilvl w:val="0"/>
                <w:numId w:val="9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Identify different batteries as electrical power sources</w:t>
            </w:r>
          </w:p>
        </w:tc>
        <w:tc>
          <w:tcPr>
            <w:tcW w:w="5538" w:type="dxa"/>
          </w:tcPr>
          <w:p w:rsidR="00D4391B" w:rsidRDefault="00D4391B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Explain the difference between primary and secondary cells</w:t>
            </w:r>
          </w:p>
          <w:p w:rsidR="00D4391B" w:rsidRDefault="00D4391B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chemical changes that take place during charging and discharging an cell</w:t>
            </w:r>
          </w:p>
          <w:p w:rsidR="00D4391B" w:rsidRDefault="00D4391B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Measure the e.m.f. of a battery when connected, singly, in series and in parallel using a voltmeter</w:t>
            </w:r>
          </w:p>
          <w:p w:rsidR="00D4391B" w:rsidRDefault="00D4391B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 xml:space="preserve"> Explain the effect that the load current has on the p.d. of the battery and how the internal resistance can be calculated</w:t>
            </w:r>
          </w:p>
          <w:p w:rsidR="00D4391B" w:rsidRDefault="00D4391B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names of the internal and external components that make up the Lead Acid and Alkaline cells</w:t>
            </w:r>
          </w:p>
          <w:p w:rsidR="00D4391B" w:rsidRDefault="00D4391B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measurement of a battery’s capacity</w:t>
            </w:r>
          </w:p>
        </w:tc>
      </w:tr>
      <w:tr w:rsidR="00D4391B">
        <w:trPr>
          <w:cantSplit/>
        </w:trPr>
        <w:tc>
          <w:tcPr>
            <w:tcW w:w="0" w:type="auto"/>
          </w:tcPr>
          <w:p w:rsidR="00D4391B" w:rsidRDefault="00D4391B">
            <w:pPr>
              <w:pStyle w:val="TableListNumber"/>
              <w:numPr>
                <w:ilvl w:val="0"/>
                <w:numId w:val="9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Complete calculations involving the resistance of an electrical circuit </w:t>
            </w:r>
          </w:p>
        </w:tc>
        <w:tc>
          <w:tcPr>
            <w:tcW w:w="5538" w:type="dxa"/>
          </w:tcPr>
          <w:p w:rsidR="00D4391B" w:rsidRDefault="00D4391B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Define resistivity</w:t>
            </w:r>
          </w:p>
          <w:p w:rsidR="00D4391B" w:rsidRDefault="00D4391B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Explain the effect of temperature on the resistance of a material</w:t>
            </w:r>
          </w:p>
          <w:p w:rsidR="00D4391B" w:rsidRDefault="00D4391B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Define the temperature co-efficient of resistance</w:t>
            </w:r>
          </w:p>
          <w:p w:rsidR="00D4391B" w:rsidRDefault="00D4391B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State the full term p.d. and define internal resistance of an electrical battery and generator</w:t>
            </w:r>
          </w:p>
          <w:p w:rsidR="00D4391B" w:rsidRDefault="00D4391B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Solve calculations involving the definitions in 3.1, 3.3 and 3.4</w:t>
            </w:r>
          </w:p>
        </w:tc>
      </w:tr>
      <w:tr w:rsidR="00D4391B">
        <w:trPr>
          <w:cantSplit/>
        </w:trPr>
        <w:tc>
          <w:tcPr>
            <w:tcW w:w="0" w:type="auto"/>
          </w:tcPr>
          <w:p w:rsidR="00D4391B" w:rsidRDefault="00D4391B">
            <w:pPr>
              <w:pStyle w:val="TableListNumber"/>
              <w:numPr>
                <w:ilvl w:val="0"/>
                <w:numId w:val="9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use electrical drawings</w:t>
            </w:r>
          </w:p>
        </w:tc>
        <w:tc>
          <w:tcPr>
            <w:tcW w:w="5538" w:type="dxa"/>
          </w:tcPr>
          <w:p w:rsidR="00D4391B" w:rsidRDefault="00D4391B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Explain the different symbols used in electrical drawings</w:t>
            </w:r>
          </w:p>
          <w:p w:rsidR="00D4391B" w:rsidRDefault="00D4391B">
            <w:pPr>
              <w:pStyle w:val="ListNumber"/>
              <w:numPr>
                <w:ilvl w:val="0"/>
                <w:numId w:val="0"/>
              </w:numPr>
              <w:spacing w:before="120"/>
              <w:ind w:left="1440" w:hanging="36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</w:p>
          <w:p w:rsidR="00D4391B" w:rsidRDefault="00D4391B">
            <w:pPr>
              <w:pStyle w:val="ListNumber"/>
              <w:numPr>
                <w:ilvl w:val="0"/>
                <w:numId w:val="0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</w:p>
        </w:tc>
      </w:tr>
      <w:tr w:rsidR="00D4391B">
        <w:trPr>
          <w:cantSplit/>
        </w:trPr>
        <w:tc>
          <w:tcPr>
            <w:tcW w:w="0" w:type="auto"/>
          </w:tcPr>
          <w:p w:rsidR="00D4391B" w:rsidRDefault="00D4391B">
            <w:pPr>
              <w:pStyle w:val="TableListNumber"/>
              <w:numPr>
                <w:ilvl w:val="0"/>
                <w:numId w:val="9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explain electrical current effects</w:t>
            </w:r>
          </w:p>
        </w:tc>
        <w:tc>
          <w:tcPr>
            <w:tcW w:w="5538" w:type="dxa"/>
          </w:tcPr>
          <w:p w:rsidR="00D4391B" w:rsidRDefault="00D4391B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 xml:space="preserve">Explain the effect of the following on electrical current </w:t>
            </w:r>
          </w:p>
          <w:p w:rsidR="00D4391B" w:rsidRDefault="00D4391B">
            <w:pPr>
              <w:pStyle w:val="ListNumber"/>
              <w:numPr>
                <w:ilvl w:val="0"/>
                <w:numId w:val="15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Magnetism</w:t>
            </w:r>
          </w:p>
          <w:p w:rsidR="00D4391B" w:rsidRDefault="00D4391B">
            <w:pPr>
              <w:pStyle w:val="ListNumber"/>
              <w:numPr>
                <w:ilvl w:val="0"/>
                <w:numId w:val="15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Chemicals</w:t>
            </w:r>
          </w:p>
          <w:p w:rsidR="00D4391B" w:rsidRDefault="00D4391B">
            <w:pPr>
              <w:pStyle w:val="ListNumber"/>
              <w:numPr>
                <w:ilvl w:val="0"/>
                <w:numId w:val="15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Heat</w:t>
            </w:r>
          </w:p>
          <w:p w:rsidR="00D4391B" w:rsidRDefault="00D4391B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practical applications of the effects on electric currents by:</w:t>
            </w:r>
          </w:p>
          <w:p w:rsidR="00D4391B" w:rsidRDefault="00D4391B">
            <w:pPr>
              <w:pStyle w:val="ListNumber"/>
              <w:numPr>
                <w:ilvl w:val="0"/>
                <w:numId w:val="15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Magnetism</w:t>
            </w:r>
          </w:p>
          <w:p w:rsidR="00D4391B" w:rsidRDefault="00D4391B">
            <w:pPr>
              <w:pStyle w:val="ListNumber"/>
              <w:numPr>
                <w:ilvl w:val="0"/>
                <w:numId w:val="15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Chemicals</w:t>
            </w:r>
          </w:p>
          <w:p w:rsidR="00D4391B" w:rsidRDefault="00D4391B">
            <w:pPr>
              <w:pStyle w:val="ListNumber"/>
              <w:numPr>
                <w:ilvl w:val="0"/>
                <w:numId w:val="15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Heat</w:t>
            </w:r>
          </w:p>
          <w:p w:rsidR="00D4391B" w:rsidRDefault="00D4391B">
            <w:pPr>
              <w:pStyle w:val="ListNumber"/>
              <w:numPr>
                <w:ilvl w:val="0"/>
                <w:numId w:val="0"/>
              </w:numPr>
              <w:spacing w:before="120"/>
              <w:ind w:left="186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</w:p>
          <w:p w:rsidR="00D4391B" w:rsidRDefault="00D4391B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 xml:space="preserve">Calculate the power dissipated in simple electrical circuits </w:t>
            </w:r>
          </w:p>
          <w:p w:rsidR="00D4391B" w:rsidRDefault="00D4391B">
            <w:pPr>
              <w:pStyle w:val="ListNumber"/>
              <w:numPr>
                <w:ilvl w:val="0"/>
                <w:numId w:val="0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</w:p>
        </w:tc>
      </w:tr>
      <w:tr w:rsidR="00D4391B">
        <w:tc>
          <w:tcPr>
            <w:tcW w:w="0" w:type="auto"/>
            <w:tcBorders>
              <w:right w:val="nil"/>
            </w:tcBorders>
            <w:shd w:val="clear" w:color="auto" w:fill="99CCFF"/>
          </w:tcPr>
          <w:p w:rsidR="00D4391B" w:rsidRDefault="00D4391B">
            <w:pPr>
              <w:pStyle w:val="TableText"/>
              <w:jc w:val="both"/>
              <w:rPr>
                <w:rFonts w:ascii="Gill Sans MT" w:hAnsi="Gill Sans MT" w:cs="Gill Sans MT"/>
                <w:b/>
                <w:bCs/>
                <w:color w:val="000080"/>
              </w:rPr>
            </w:pPr>
            <w:r>
              <w:rPr>
                <w:rFonts w:ascii="Gill Sans MT" w:hAnsi="Gill Sans MT" w:cs="Gill Sans MT"/>
                <w:b/>
                <w:bCs/>
                <w:color w:val="000080"/>
              </w:rPr>
              <w:t>Additional information about the unit</w:t>
            </w:r>
          </w:p>
        </w:tc>
        <w:tc>
          <w:tcPr>
            <w:tcW w:w="5538" w:type="dxa"/>
            <w:tcBorders>
              <w:left w:val="nil"/>
            </w:tcBorders>
            <w:shd w:val="clear" w:color="auto" w:fill="99CCFF"/>
          </w:tcPr>
          <w:p w:rsidR="00D4391B" w:rsidRDefault="00D4391B">
            <w:pPr>
              <w:pStyle w:val="TableText"/>
              <w:ind w:left="185"/>
              <w:jc w:val="both"/>
              <w:rPr>
                <w:rFonts w:ascii="Gill Sans MT" w:hAnsi="Gill Sans MT" w:cs="Gill Sans MT"/>
                <w:color w:val="000080"/>
              </w:rPr>
            </w:pPr>
          </w:p>
        </w:tc>
      </w:tr>
      <w:tr w:rsidR="00D4391B">
        <w:tc>
          <w:tcPr>
            <w:tcW w:w="0" w:type="auto"/>
          </w:tcPr>
          <w:p w:rsidR="00D4391B" w:rsidRDefault="00D4391B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aim(s)</w:t>
            </w:r>
          </w:p>
        </w:tc>
        <w:tc>
          <w:tcPr>
            <w:tcW w:w="5538" w:type="dxa"/>
          </w:tcPr>
          <w:p w:rsidR="00D4391B" w:rsidRDefault="00D4391B">
            <w:pPr>
              <w:ind w:left="185"/>
              <w:rPr>
                <w:rFonts w:ascii="Gill Sans MT" w:hAnsi="Gill Sans MT" w:cs="Gill Sans MT"/>
                <w:i/>
                <w:iCs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To develop the knowledge and understanding of basic electrical concepts, magnetic and electromagnetic theory</w:t>
            </w:r>
          </w:p>
        </w:tc>
      </w:tr>
      <w:tr w:rsidR="00D4391B">
        <w:tc>
          <w:tcPr>
            <w:tcW w:w="0" w:type="auto"/>
          </w:tcPr>
          <w:p w:rsidR="00D4391B" w:rsidRDefault="00D4391B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expiry date</w:t>
            </w:r>
          </w:p>
        </w:tc>
        <w:tc>
          <w:tcPr>
            <w:tcW w:w="5538" w:type="dxa"/>
          </w:tcPr>
          <w:p w:rsidR="00D4391B" w:rsidRDefault="00D4391B">
            <w:pPr>
              <w:pStyle w:val="TableText"/>
              <w:ind w:left="185"/>
              <w:jc w:val="both"/>
              <w:rPr>
                <w:rFonts w:ascii="Gill Sans MT" w:hAnsi="Gill Sans MT" w:cs="Gill Sans MT"/>
                <w:highlight w:val="yellow"/>
              </w:rPr>
            </w:pPr>
          </w:p>
        </w:tc>
      </w:tr>
      <w:tr w:rsidR="00D4391B">
        <w:trPr>
          <w:cantSplit/>
        </w:trPr>
        <w:tc>
          <w:tcPr>
            <w:tcW w:w="0" w:type="auto"/>
          </w:tcPr>
          <w:p w:rsidR="00D4391B" w:rsidRDefault="00D4391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relevant national occupational standards (if appropriate)</w:t>
            </w:r>
          </w:p>
        </w:tc>
        <w:tc>
          <w:tcPr>
            <w:tcW w:w="5538" w:type="dxa"/>
          </w:tcPr>
          <w:p w:rsidR="00D4391B" w:rsidRDefault="00D4391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MNTB NOS (Jan 2006) – C01 Monitor and Operate Engine Room Machinery</w:t>
            </w:r>
          </w:p>
          <w:p w:rsidR="00D4391B" w:rsidRDefault="00D4391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C11 Prepare and operate vessel propulsion machinery and ancillary systems</w:t>
            </w:r>
          </w:p>
          <w:p w:rsidR="00D4391B" w:rsidRDefault="00D4391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C13 Operate and adjust vessel electrical equipment</w:t>
            </w:r>
          </w:p>
          <w:p w:rsidR="00D4391B" w:rsidRDefault="00D4391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C33 Carry out maintenance of vessel electrical machinery and systems</w:t>
            </w:r>
          </w:p>
        </w:tc>
      </w:tr>
      <w:tr w:rsidR="00D4391B">
        <w:tc>
          <w:tcPr>
            <w:tcW w:w="0" w:type="auto"/>
          </w:tcPr>
          <w:p w:rsidR="00D4391B" w:rsidRDefault="00D4391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other standards or curricula (if appropriate)</w:t>
            </w:r>
          </w:p>
        </w:tc>
        <w:tc>
          <w:tcPr>
            <w:tcW w:w="5538" w:type="dxa"/>
          </w:tcPr>
          <w:p w:rsidR="00D4391B" w:rsidRDefault="00D4391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Maritime and Coastguard Agency Marine Guidance Notice regarding Certificates of Competency – Engine Department,  </w:t>
            </w:r>
          </w:p>
        </w:tc>
      </w:tr>
      <w:tr w:rsidR="00D4391B">
        <w:tc>
          <w:tcPr>
            <w:tcW w:w="0" w:type="auto"/>
          </w:tcPr>
          <w:p w:rsidR="00D4391B" w:rsidRDefault="00D4391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requirements specified by a sector or regulatory body (if appropriate)</w:t>
            </w:r>
          </w:p>
        </w:tc>
        <w:tc>
          <w:tcPr>
            <w:tcW w:w="5538" w:type="dxa"/>
          </w:tcPr>
          <w:p w:rsidR="00D4391B" w:rsidRDefault="00D4391B">
            <w:pPr>
              <w:pStyle w:val="TableText"/>
              <w:spacing w:before="60" w:after="60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Maritime Skills Alliance Assessment Strategy</w:t>
            </w:r>
          </w:p>
          <w:p w:rsidR="00D4391B" w:rsidRDefault="00D4391B">
            <w:pPr>
              <w:pStyle w:val="TableText"/>
              <w:spacing w:before="60" w:after="60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 Certification requirements</w:t>
            </w:r>
          </w:p>
        </w:tc>
      </w:tr>
      <w:tr w:rsidR="00D4391B">
        <w:tc>
          <w:tcPr>
            <w:tcW w:w="0" w:type="auto"/>
          </w:tcPr>
          <w:p w:rsidR="00D4391B" w:rsidRDefault="00D4391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Endorsement of the unit by a sector or other appropriate body (if required)</w:t>
            </w:r>
          </w:p>
        </w:tc>
        <w:tc>
          <w:tcPr>
            <w:tcW w:w="5538" w:type="dxa"/>
          </w:tcPr>
          <w:p w:rsidR="00D4391B" w:rsidRDefault="00D4391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MCA….</w:t>
            </w:r>
          </w:p>
        </w:tc>
      </w:tr>
      <w:tr w:rsidR="00D4391B">
        <w:tc>
          <w:tcPr>
            <w:tcW w:w="0" w:type="auto"/>
          </w:tcPr>
          <w:p w:rsidR="00D4391B" w:rsidRDefault="00D4391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Location of the unit within the subject/sector classification system</w:t>
            </w:r>
          </w:p>
        </w:tc>
        <w:tc>
          <w:tcPr>
            <w:tcW w:w="5538" w:type="dxa"/>
          </w:tcPr>
          <w:p w:rsidR="00D4391B" w:rsidRDefault="00D4391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Transportation </w:t>
            </w:r>
          </w:p>
        </w:tc>
      </w:tr>
      <w:tr w:rsidR="00D4391B">
        <w:tc>
          <w:tcPr>
            <w:tcW w:w="0" w:type="auto"/>
          </w:tcPr>
          <w:p w:rsidR="00D4391B" w:rsidRDefault="00D4391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Name of the organisation submitting the unit</w:t>
            </w:r>
          </w:p>
        </w:tc>
        <w:tc>
          <w:tcPr>
            <w:tcW w:w="5538" w:type="dxa"/>
          </w:tcPr>
          <w:p w:rsidR="00D4391B" w:rsidRDefault="00D4391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Scottish Qualifications Authority</w:t>
            </w:r>
          </w:p>
        </w:tc>
      </w:tr>
      <w:tr w:rsidR="00D4391B">
        <w:tc>
          <w:tcPr>
            <w:tcW w:w="0" w:type="auto"/>
          </w:tcPr>
          <w:p w:rsidR="00D4391B" w:rsidRDefault="00D4391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use</w:t>
            </w:r>
          </w:p>
        </w:tc>
        <w:tc>
          <w:tcPr>
            <w:tcW w:w="5538" w:type="dxa"/>
          </w:tcPr>
          <w:p w:rsidR="00D4391B" w:rsidRDefault="00D4391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</w:p>
        </w:tc>
      </w:tr>
      <w:tr w:rsidR="00D4391B">
        <w:tc>
          <w:tcPr>
            <w:tcW w:w="0" w:type="auto"/>
          </w:tcPr>
          <w:p w:rsidR="00D4391B" w:rsidRDefault="00D4391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delivery</w:t>
            </w:r>
          </w:p>
        </w:tc>
        <w:tc>
          <w:tcPr>
            <w:tcW w:w="5538" w:type="dxa"/>
          </w:tcPr>
          <w:p w:rsidR="00D4391B" w:rsidRDefault="00D4391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</w:p>
        </w:tc>
      </w:tr>
      <w:tr w:rsidR="00D4391B">
        <w:tc>
          <w:tcPr>
            <w:tcW w:w="0" w:type="auto"/>
          </w:tcPr>
          <w:p w:rsidR="00D4391B" w:rsidRDefault="00D4391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Guided Learning Hours</w:t>
            </w:r>
          </w:p>
        </w:tc>
        <w:tc>
          <w:tcPr>
            <w:tcW w:w="5538" w:type="dxa"/>
          </w:tcPr>
          <w:p w:rsidR="00D4391B" w:rsidRDefault="00D4391B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44</w:t>
            </w:r>
          </w:p>
        </w:tc>
      </w:tr>
    </w:tbl>
    <w:p w:rsidR="00D4391B" w:rsidRDefault="00D4391B">
      <w:pPr>
        <w:rPr>
          <w:rFonts w:ascii="Gill Sans MT" w:hAnsi="Gill Sans MT" w:cs="Gill Sans MT"/>
          <w:color w:val="000080"/>
        </w:rPr>
      </w:pPr>
    </w:p>
    <w:p w:rsidR="00D4391B" w:rsidRDefault="00D4391B">
      <w:pPr>
        <w:rPr>
          <w:color w:val="000080"/>
        </w:rPr>
      </w:pPr>
    </w:p>
    <w:sectPr w:rsidR="00D4391B" w:rsidSect="00D4391B">
      <w:headerReference w:type="default" r:id="rId7"/>
      <w:footerReference w:type="default" r:id="rId8"/>
      <w:pgSz w:w="11907" w:h="16840" w:code="9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91B" w:rsidRDefault="00D4391B">
      <w:r>
        <w:separator/>
      </w:r>
    </w:p>
  </w:endnote>
  <w:endnote w:type="continuationSeparator" w:id="0">
    <w:p w:rsidR="00D4391B" w:rsidRDefault="00D43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MT">
    <w:altName w:val="Times New Roman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91B" w:rsidRDefault="00D4391B">
    <w:pPr>
      <w:pStyle w:val="Footer"/>
      <w:pBdr>
        <w:top w:val="thinThickSmallGap" w:sz="24" w:space="1" w:color="622423"/>
      </w:pBdr>
      <w:tabs>
        <w:tab w:val="clear" w:pos="4153"/>
      </w:tabs>
      <w:rPr>
        <w:rFonts w:ascii="Calibri" w:hAnsi="Calibri" w:cs="Calibri"/>
      </w:rPr>
    </w:pPr>
    <w:r>
      <w:rPr>
        <w:rFonts w:ascii="Calibri" w:hAnsi="Calibri" w:cs="Calibri"/>
      </w:rPr>
      <w:t>Maritime Skills Alliance Final Draft 21.12.10</w:t>
    </w:r>
    <w:r>
      <w:rPr>
        <w:rFonts w:ascii="Calibri" w:hAnsi="Calibri" w:cs="Calibri"/>
      </w:rPr>
      <w:tab/>
      <w:t xml:space="preserve"> Page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  <w:noProof/>
      </w:rPr>
      <w:t>1</w:t>
    </w:r>
    <w:r>
      <w:rPr>
        <w:rFonts w:ascii="Calibri" w:hAnsi="Calibri" w:cs="Calibri"/>
      </w:rPr>
      <w:fldChar w:fldCharType="end"/>
    </w:r>
  </w:p>
  <w:p w:rsidR="00D4391B" w:rsidRDefault="00D439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91B" w:rsidRDefault="00D4391B">
      <w:r>
        <w:separator/>
      </w:r>
    </w:p>
  </w:footnote>
  <w:footnote w:type="continuationSeparator" w:id="0">
    <w:p w:rsidR="00D4391B" w:rsidRDefault="00D439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91B" w:rsidRDefault="00D4391B">
    <w:pPr>
      <w:pStyle w:val="Header"/>
    </w:pPr>
    <w:ins w:id="0" w:author="Philip Wells" w:date="2010-12-20T16:29:00Z">
      <w:r>
        <w:t>FINAL</w:t>
      </w:r>
    </w:ins>
    <w:del w:id="1" w:author="Philip Wells" w:date="2010-12-20T16:29:00Z">
      <w:r>
        <w:delText>DRA</w:delText>
      </w:r>
    </w:del>
    <w:r>
      <w:t xml:space="preserve"> DRAFT - 21 Dec. 2010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F43658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>
    <w:nsid w:val="FFFFFFFB"/>
    <w:multiLevelType w:val="multilevel"/>
    <w:tmpl w:val="ADDE955A"/>
    <w:lvl w:ilvl="0">
      <w:start w:val="1"/>
      <w:numFmt w:val="decimal"/>
      <w:pStyle w:val="Heading6"/>
      <w:lvlText w:val="%1"/>
      <w:legacy w:legacy="1" w:legacySpace="12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  <w:lvl w:ilvl="1">
      <w:numFmt w:val="none"/>
      <w:lvlText w:val=""/>
      <w:lvlJc w:val="left"/>
      <w:rPr>
        <w:rFonts w:ascii="Times New Roman" w:hAnsi="Times New Roman" w:cs="Times New Roman"/>
      </w:rPr>
    </w:lvl>
    <w:lvl w:ilvl="2">
      <w:numFmt w:val="none"/>
      <w:lvlText w:val=""/>
      <w:lvlJc w:val="left"/>
      <w:rPr>
        <w:rFonts w:ascii="Times New Roman" w:hAnsi="Times New Roman" w:cs="Times New Roman"/>
      </w:rPr>
    </w:lvl>
    <w:lvl w:ilvl="3">
      <w:numFmt w:val="none"/>
      <w:lvlText w:val=""/>
      <w:lvlJc w:val="left"/>
      <w:rPr>
        <w:rFonts w:ascii="Times New Roman" w:hAnsi="Times New Roman" w:cs="Times New Roman"/>
      </w:rPr>
    </w:lvl>
    <w:lvl w:ilvl="4">
      <w:numFmt w:val="none"/>
      <w:lvlText w:val=""/>
      <w:lvlJc w:val="left"/>
      <w:rPr>
        <w:rFonts w:ascii="Times New Roman" w:hAnsi="Times New Roman" w:cs="Times New Roman"/>
      </w:rPr>
    </w:lvl>
    <w:lvl w:ilvl="5">
      <w:numFmt w:val="none"/>
      <w:lvlText w:val=""/>
      <w:lvlJc w:val="left"/>
      <w:rPr>
        <w:rFonts w:ascii="Times New Roman" w:hAnsi="Times New Roman" w:cs="Times New Roman"/>
      </w:rPr>
    </w:lvl>
    <w:lvl w:ilvl="6">
      <w:numFmt w:val="none"/>
      <w:lvlText w:val=""/>
      <w:lvlJc w:val="left"/>
      <w:rPr>
        <w:rFonts w:ascii="Times New Roman" w:hAnsi="Times New Roman" w:cs="Times New Roman"/>
      </w:rPr>
    </w:lvl>
    <w:lvl w:ilvl="7">
      <w:numFmt w:val="none"/>
      <w:lvlText w:val=""/>
      <w:lvlJc w:val="left"/>
      <w:rPr>
        <w:rFonts w:ascii="Times New Roman" w:hAnsi="Times New Roman" w:cs="Times New Roman"/>
      </w:rPr>
    </w:lvl>
    <w:lvl w:ilvl="8">
      <w:numFmt w:val="none"/>
      <w:lvlText w:val=""/>
      <w:lvlJc w:val="left"/>
      <w:rPr>
        <w:rFonts w:ascii="Times New Roman" w:hAnsi="Times New Roman" w:cs="Times New Roman"/>
      </w:rPr>
    </w:lvl>
  </w:abstractNum>
  <w:abstractNum w:abstractNumId="2">
    <w:nsid w:val="09DC7798"/>
    <w:multiLevelType w:val="hybridMultilevel"/>
    <w:tmpl w:val="B0100B6A"/>
    <w:lvl w:ilvl="0" w:tplc="3E5A9132">
      <w:start w:val="1"/>
      <w:numFmt w:val="decimal"/>
      <w:lvlText w:val="6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>
    <w:nsid w:val="1D35416A"/>
    <w:multiLevelType w:val="hybridMultilevel"/>
    <w:tmpl w:val="84B0CDD4"/>
    <w:lvl w:ilvl="0" w:tplc="08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4">
    <w:nsid w:val="212C5E8A"/>
    <w:multiLevelType w:val="hybridMultilevel"/>
    <w:tmpl w:val="42A2A56A"/>
    <w:lvl w:ilvl="0" w:tplc="41EA144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15E0873C">
      <w:start w:val="1"/>
      <w:numFmt w:val="decimal"/>
      <w:pStyle w:val="ListNumb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23134491"/>
    <w:multiLevelType w:val="hybridMultilevel"/>
    <w:tmpl w:val="5D34EBE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>
    <w:nsid w:val="2A6A6545"/>
    <w:multiLevelType w:val="singleLevel"/>
    <w:tmpl w:val="C4E2870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</w:abstractNum>
  <w:abstractNum w:abstractNumId="7">
    <w:nsid w:val="35D6230E"/>
    <w:multiLevelType w:val="singleLevel"/>
    <w:tmpl w:val="DA0CB540"/>
    <w:lvl w:ilvl="0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298" w:hanging="298"/>
      </w:pPr>
      <w:rPr>
        <w:rFonts w:ascii="Times New Roman" w:hAnsi="Times New Roman" w:cs="Times New Roman"/>
      </w:rPr>
    </w:lvl>
  </w:abstractNum>
  <w:abstractNum w:abstractNumId="8">
    <w:nsid w:val="3F49243E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9">
    <w:nsid w:val="60170AA0"/>
    <w:multiLevelType w:val="hybridMultilevel"/>
    <w:tmpl w:val="80EA309C"/>
    <w:lvl w:ilvl="0" w:tplc="08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>
    <w:nsid w:val="61716942"/>
    <w:multiLevelType w:val="hybridMultilevel"/>
    <w:tmpl w:val="815C16A6"/>
    <w:lvl w:ilvl="0" w:tplc="08090001">
      <w:start w:val="1"/>
      <w:numFmt w:val="bullet"/>
      <w:lvlText w:val=""/>
      <w:lvlJc w:val="left"/>
      <w:pPr>
        <w:ind w:left="906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346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066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506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226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666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3"/>
  </w:num>
  <w:num w:numId="11">
    <w:abstractNumId w:val="1"/>
  </w:num>
  <w:num w:numId="12">
    <w:abstractNumId w:val="6"/>
  </w:num>
  <w:num w:numId="13">
    <w:abstractNumId w:val="5"/>
  </w:num>
  <w:num w:numId="14">
    <w:abstractNumId w:val="0"/>
  </w:num>
  <w:num w:numId="15">
    <w:abstractNumId w:val="10"/>
  </w:num>
  <w:num w:numId="16">
    <w:abstractNumId w:val="9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391B"/>
    <w:rsid w:val="00D43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List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tabs>
        <w:tab w:val="num" w:pos="360"/>
      </w:tabs>
      <w:overflowPunct w:val="0"/>
      <w:autoSpaceDE w:val="0"/>
      <w:autoSpaceDN w:val="0"/>
      <w:adjustRightInd w:val="0"/>
      <w:ind w:left="298" w:hanging="298"/>
      <w:textAlignment w:val="baseline"/>
      <w:outlineLvl w:val="4"/>
    </w:pPr>
    <w:rPr>
      <w:sz w:val="24"/>
      <w:szCs w:val="24"/>
      <w:lang w:val="en-US"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numPr>
        <w:numId w:val="11"/>
      </w:numPr>
      <w:tabs>
        <w:tab w:val="num" w:pos="360"/>
      </w:tabs>
      <w:overflowPunct w:val="0"/>
      <w:autoSpaceDE w:val="0"/>
      <w:autoSpaceDN w:val="0"/>
      <w:adjustRightInd w:val="0"/>
      <w:jc w:val="both"/>
      <w:textAlignment w:val="baseline"/>
      <w:outlineLvl w:val="5"/>
    </w:pPr>
    <w:rPr>
      <w:sz w:val="24"/>
      <w:szCs w:val="24"/>
      <w:lang w:val="en-US" w:eastAsia="en-GB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Pr>
      <w:rFonts w:ascii="Arial" w:hAnsi="Arial" w:cs="Arial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 w:cs="Arial"/>
      <w:sz w:val="22"/>
      <w:szCs w:val="22"/>
      <w:lang w:val="en-GB" w:eastAsia="en-US"/>
    </w:rPr>
  </w:style>
  <w:style w:type="paragraph" w:customStyle="1" w:styleId="TableListNumber">
    <w:name w:val="Table List Number"/>
    <w:basedOn w:val="TableText"/>
    <w:uiPriority w:val="99"/>
    <w:pPr>
      <w:numPr>
        <w:numId w:val="7"/>
      </w:numPr>
      <w:tabs>
        <w:tab w:val="left" w:pos="298"/>
      </w:tabs>
    </w:pPr>
  </w:style>
  <w:style w:type="paragraph" w:customStyle="1" w:styleId="TableText">
    <w:name w:val="Table Text"/>
    <w:basedOn w:val="Normal"/>
    <w:uiPriority w:val="99"/>
    <w:pPr>
      <w:spacing w:before="120" w:after="170" w:line="240" w:lineRule="atLeast"/>
    </w:pPr>
    <w:rPr>
      <w:sz w:val="20"/>
      <w:szCs w:val="20"/>
    </w:rPr>
  </w:style>
  <w:style w:type="paragraph" w:customStyle="1" w:styleId="TableColumnHeader">
    <w:name w:val="Table Column Header"/>
    <w:basedOn w:val="TableText"/>
    <w:uiPriority w:val="99"/>
    <w:rPr>
      <w:b/>
      <w:bCs/>
    </w:rPr>
  </w:style>
  <w:style w:type="paragraph" w:customStyle="1" w:styleId="Knowledge">
    <w:name w:val="Knowledge"/>
    <w:basedOn w:val="Normal"/>
    <w:uiPriority w:val="99"/>
    <w:pPr>
      <w:spacing w:before="120" w:after="120"/>
    </w:pPr>
  </w:style>
  <w:style w:type="paragraph" w:styleId="ListNumber">
    <w:name w:val="List Number"/>
    <w:basedOn w:val="Normal"/>
    <w:uiPriority w:val="99"/>
    <w:pPr>
      <w:numPr>
        <w:ilvl w:val="1"/>
        <w:numId w:val="8"/>
      </w:numPr>
      <w:spacing w:after="120"/>
      <w:jc w:val="both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hAnsi="Arial" w:cs="Arial"/>
      <w:lang w:eastAsia="en-US"/>
    </w:rPr>
  </w:style>
  <w:style w:type="character" w:styleId="CommentReference">
    <w:name w:val="annotation reference"/>
    <w:basedOn w:val="DefaultParagraphFont"/>
    <w:uiPriority w:val="99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hAnsi="Arial" w:cs="Arial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455</Words>
  <Characters>2597</Characters>
  <Application>Microsoft Office Outlook</Application>
  <DocSecurity>0</DocSecurity>
  <Lines>0</Lines>
  <Paragraphs>0</Paragraphs>
  <ScaleCrop>false</ScaleCrop>
  <Company>&lt;arabianhorse&gt;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subject/>
  <dc:creator>My Computer</dc:creator>
  <cp:keywords/>
  <dc:description/>
  <cp:lastModifiedBy>Philip Wells</cp:lastModifiedBy>
  <cp:revision>3</cp:revision>
  <dcterms:created xsi:type="dcterms:W3CDTF">2010-12-20T16:52:00Z</dcterms:created>
  <dcterms:modified xsi:type="dcterms:W3CDTF">2011-01-12T11:07:00Z</dcterms:modified>
</cp:coreProperties>
</file>