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3719A8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keep an engineering watch by taking over, handing over and keeping watch.</w:t>
            </w:r>
          </w:p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It includes taking over and handing over the watch to other officers, carrying out defined watch-keeping duties to maintain operation of the machinery and safety of the engine-room and the vessel.</w:t>
            </w:r>
          </w:p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F95F27" w:rsidRPr="00F95F27" w:rsidRDefault="00F95F27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an operational level in charge of a watch in manned engine-rooms and those designated to perform duties in a periodically unmanned engine room on vessels of any type and of any registered power.</w:t>
            </w:r>
          </w:p>
          <w:p w:rsidR="00A51C94" w:rsidRDefault="00A51C94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A51C94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3719A8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CA0B6C" w:rsidRDefault="00CA0B6C" w:rsidP="00CA0B6C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CA0B6C" w:rsidRDefault="00CA0B6C" w:rsidP="00CA0B6C">
            <w:pPr>
              <w:pStyle w:val="NOSBodyHeading"/>
              <w:spacing w:line="276" w:lineRule="auto"/>
              <w:rPr>
                <w:b w:val="0"/>
              </w:rPr>
            </w:pPr>
          </w:p>
          <w:p w:rsidR="00CA0B6C" w:rsidRDefault="00CA0B6C" w:rsidP="00CA0B6C">
            <w:pPr>
              <w:pStyle w:val="NOSBodyHeading"/>
              <w:spacing w:line="276" w:lineRule="auto"/>
              <w:rPr>
                <w:b w:val="0"/>
              </w:rPr>
            </w:pP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A0B6C">
              <w:rPr>
                <w:b w:val="0"/>
              </w:rPr>
              <w:t>ake over, maintain and handover the watch in accordance with internationally accepted principles and procedures and established safety rules and regulations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CA0B6C">
              <w:rPr>
                <w:b w:val="0"/>
              </w:rPr>
              <w:t>stablish the condition of the machinery on assuming the watch and confirm the vessel requirements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CA0B6C">
              <w:rPr>
                <w:b w:val="0"/>
              </w:rPr>
              <w:t>ommunicate clearly and concisely any duties to be carried out to any engine-room personnel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CA0B6C">
              <w:rPr>
                <w:b w:val="0"/>
              </w:rPr>
              <w:t>xecute bridge orders promptly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CA0B6C">
              <w:rPr>
                <w:b w:val="0"/>
              </w:rPr>
              <w:t>onitor the engineering machinery, equipment and systems to maintain the requirements of the vessel in accordance with manufacturer</w:t>
            </w:r>
            <w:r w:rsidR="00851489">
              <w:rPr>
                <w:b w:val="0"/>
              </w:rPr>
              <w:t>’</w:t>
            </w:r>
            <w:r w:rsidR="00CA0B6C">
              <w:rPr>
                <w:b w:val="0"/>
              </w:rPr>
              <w:t>s recommendations and accepted principles and procedures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CA0B6C">
              <w:rPr>
                <w:b w:val="0"/>
              </w:rPr>
              <w:t>espond correctly to engine room malfunctions and emergencies, identify, take action and report malfunctions and deviations promptly to maintain safe operation</w:t>
            </w:r>
          </w:p>
          <w:p w:rsidR="00CA0B6C" w:rsidRPr="001B0A7B" w:rsidRDefault="00F95F27" w:rsidP="00CA0B6C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CA0B6C">
              <w:rPr>
                <w:b w:val="0"/>
              </w:rPr>
              <w:t>nsure that all measures are taken to ensure safety of personnel and the vessel and protection of the environment from pollution</w:t>
            </w:r>
          </w:p>
          <w:p w:rsidR="003C6D88" w:rsidRPr="001B0A7B" w:rsidRDefault="00F95F27" w:rsidP="00F95F27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CA0B6C">
              <w:rPr>
                <w:b w:val="0"/>
              </w:rPr>
              <w:t xml:space="preserve">aintain the machinery space log-book and other records fully and accurately to cover the movements and activities relating to the engineering systems 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3719A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3460F5" w:rsidRDefault="003460F5" w:rsidP="003460F5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F95F27" w:rsidRDefault="00F95F27" w:rsidP="003460F5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3460F5" w:rsidRPr="001B0A7B" w:rsidRDefault="003460F5" w:rsidP="003460F5">
            <w:pPr>
              <w:pStyle w:val="NOSBodyHeading"/>
              <w:spacing w:line="276" w:lineRule="auto"/>
              <w:rPr>
                <w:b w:val="0"/>
              </w:rPr>
            </w:pP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duties in taking over and accepting and handing over a watch</w:t>
            </w:r>
          </w:p>
          <w:p w:rsidR="0078529B" w:rsidRDefault="00F95F27" w:rsidP="0078529B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statutory requirements and internationally agreed principles and procedures for keeping an engineering watch</w:t>
            </w:r>
            <w:r w:rsidR="0078529B">
              <w:rPr>
                <w:rFonts w:cs="Arial"/>
                <w:b w:val="0"/>
              </w:rPr>
              <w:t>:</w:t>
            </w:r>
          </w:p>
          <w:p w:rsidR="00E86DC2" w:rsidRDefault="0078529B" w:rsidP="00E86DC2">
            <w:pPr>
              <w:pStyle w:val="NOSBodyHeading"/>
              <w:spacing w:line="276" w:lineRule="auto"/>
              <w:ind w:left="567"/>
              <w:rPr>
                <w:b w:val="0"/>
              </w:rPr>
            </w:pPr>
            <w:r>
              <w:rPr>
                <w:b w:val="0"/>
              </w:rPr>
              <w:t>K2.1</w:t>
            </w:r>
            <w:r w:rsidR="003460F5" w:rsidRPr="0078529B">
              <w:rPr>
                <w:rFonts w:cs="Arial"/>
                <w:b w:val="0"/>
              </w:rPr>
              <w:t xml:space="preserve"> at sea </w:t>
            </w:r>
          </w:p>
          <w:p w:rsidR="00E86DC2" w:rsidRDefault="0078529B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K2.2 </w:t>
            </w:r>
            <w:r w:rsidR="003460F5" w:rsidRPr="0078529B">
              <w:rPr>
                <w:rFonts w:cs="Arial"/>
                <w:b w:val="0"/>
              </w:rPr>
              <w:t>during restricted visibility</w:t>
            </w:r>
          </w:p>
          <w:p w:rsidR="00E86DC2" w:rsidRDefault="0078529B" w:rsidP="00E86DC2">
            <w:pPr>
              <w:pStyle w:val="NOSBodyHeading"/>
              <w:spacing w:line="276" w:lineRule="auto"/>
              <w:ind w:left="567"/>
              <w:rPr>
                <w:b w:val="0"/>
              </w:rPr>
            </w:pPr>
            <w:r>
              <w:rPr>
                <w:b w:val="0"/>
              </w:rPr>
              <w:t>K2.3</w:t>
            </w:r>
            <w:r w:rsidR="003460F5" w:rsidRPr="0078529B">
              <w:rPr>
                <w:rFonts w:cs="Arial"/>
                <w:b w:val="0"/>
              </w:rPr>
              <w:t xml:space="preserve"> in coastal and congested waters</w:t>
            </w:r>
          </w:p>
          <w:p w:rsidR="00E86DC2" w:rsidRDefault="0078529B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K2.4</w:t>
            </w:r>
            <w:r w:rsidR="003460F5" w:rsidRPr="0078529B">
              <w:rPr>
                <w:rFonts w:cs="Arial"/>
                <w:b w:val="0"/>
              </w:rPr>
              <w:t xml:space="preserve"> at anchor </w:t>
            </w:r>
          </w:p>
          <w:p w:rsidR="00E86DC2" w:rsidRDefault="0078529B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K2.5 </w:t>
            </w:r>
            <w:r w:rsidR="003460F5" w:rsidRPr="0078529B">
              <w:rPr>
                <w:rFonts w:cs="Arial"/>
                <w:b w:val="0"/>
              </w:rPr>
              <w:t xml:space="preserve"> in port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start up and shut down of main and auxiliary machinery and systems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monitoring and adjustment of running machinery to maintain the requirements of the vessel</w:t>
            </w:r>
          </w:p>
          <w:p w:rsidR="0078529B" w:rsidRPr="0078529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alarm and emergency shutdown system including</w:t>
            </w:r>
            <w:r w:rsidR="0078529B">
              <w:rPr>
                <w:rFonts w:cs="Arial"/>
                <w:b w:val="0"/>
              </w:rPr>
              <w:t>:</w:t>
            </w:r>
          </w:p>
          <w:p w:rsidR="00E86DC2" w:rsidRDefault="0078529B" w:rsidP="00E86DC2">
            <w:pPr>
              <w:pStyle w:val="NOSBodyHeading"/>
              <w:spacing w:line="276" w:lineRule="auto"/>
              <w:ind w:left="567"/>
              <w:rPr>
                <w:b w:val="0"/>
              </w:rPr>
            </w:pPr>
            <w:r>
              <w:rPr>
                <w:rFonts w:cs="Arial"/>
                <w:b w:val="0"/>
              </w:rPr>
              <w:t>K5.1</w:t>
            </w:r>
            <w:r w:rsidR="003460F5">
              <w:rPr>
                <w:rFonts w:cs="Arial"/>
                <w:b w:val="0"/>
              </w:rPr>
              <w:t xml:space="preserve"> fire extinguishing gas alarms and earth faults</w:t>
            </w:r>
          </w:p>
          <w:p w:rsidR="00E86DC2" w:rsidRDefault="0078529B" w:rsidP="00E86DC2">
            <w:pPr>
              <w:pStyle w:val="NOSBodyHeading"/>
              <w:spacing w:line="276" w:lineRule="auto"/>
              <w:ind w:left="567"/>
              <w:rPr>
                <w:b w:val="0"/>
              </w:rPr>
            </w:pPr>
            <w:r>
              <w:rPr>
                <w:rFonts w:cs="Arial"/>
                <w:b w:val="0"/>
              </w:rPr>
              <w:t>K5.2 h</w:t>
            </w:r>
            <w:r w:rsidR="003460F5">
              <w:rPr>
                <w:rFonts w:cs="Arial"/>
                <w:b w:val="0"/>
              </w:rPr>
              <w:t>ow to deal with alarms and multiple alarms</w:t>
            </w:r>
          </w:p>
          <w:p w:rsidR="00E86DC2" w:rsidRDefault="0078529B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K5.3 i</w:t>
            </w:r>
            <w:r w:rsidR="003460F5">
              <w:rPr>
                <w:rFonts w:cs="Arial"/>
                <w:b w:val="0"/>
              </w:rPr>
              <w:t>dentification of priority of alarms</w:t>
            </w:r>
          </w:p>
          <w:p w:rsidR="00E86DC2" w:rsidRDefault="0078529B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K5.4 r</w:t>
            </w:r>
            <w:r w:rsidR="003460F5">
              <w:rPr>
                <w:rFonts w:cs="Arial"/>
                <w:b w:val="0"/>
              </w:rPr>
              <w:t>ecognition of conditions requiring immediate assistance</w:t>
            </w:r>
          </w:p>
          <w:p w:rsidR="009B1A9A" w:rsidRPr="009B1A9A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proofErr w:type="gramStart"/>
            <w:r>
              <w:rPr>
                <w:rFonts w:cs="Arial"/>
                <w:b w:val="0"/>
              </w:rPr>
              <w:t>m</w:t>
            </w:r>
            <w:r w:rsidR="003460F5">
              <w:rPr>
                <w:rFonts w:cs="Arial"/>
                <w:b w:val="0"/>
              </w:rPr>
              <w:t>aintenance</w:t>
            </w:r>
            <w:proofErr w:type="gramEnd"/>
            <w:r w:rsidR="003460F5">
              <w:rPr>
                <w:rFonts w:cs="Arial"/>
                <w:b w:val="0"/>
              </w:rPr>
              <w:t xml:space="preserve"> of the machinery space log-book and the significance of the readings. </w:t>
            </w:r>
          </w:p>
          <w:p w:rsidR="003460F5" w:rsidRPr="001B0A7B" w:rsidRDefault="009B1A9A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 xml:space="preserve">he function and importance of </w:t>
            </w:r>
            <w:proofErr w:type="spellStart"/>
            <w:r w:rsidR="003460F5">
              <w:rPr>
                <w:rFonts w:cs="Arial"/>
                <w:b w:val="0"/>
              </w:rPr>
              <w:t>Engineroom</w:t>
            </w:r>
            <w:proofErr w:type="spellEnd"/>
            <w:r w:rsidR="003460F5">
              <w:rPr>
                <w:rFonts w:cs="Arial"/>
                <w:b w:val="0"/>
              </w:rPr>
              <w:t xml:space="preserve"> Log Book and other records such as oil record book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initial action as Officer of the Watch in the event of malfunction or failure of equipment, main engine failure or steering gear failure and initial damage assessment and control</w:t>
            </w:r>
          </w:p>
          <w:p w:rsidR="003460F5" w:rsidRPr="009B1A9A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changeover routines for systems from remote/automatic to local control as required in normal operation</w:t>
            </w:r>
          </w:p>
          <w:p w:rsidR="009B1A9A" w:rsidRPr="001B0A7B" w:rsidRDefault="009B1A9A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</w:p>
          <w:p w:rsidR="009B1A9A" w:rsidRPr="009B1A9A" w:rsidRDefault="00F95F27" w:rsidP="009B1A9A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 xml:space="preserve">he contingency plans and action to take as Officer of the Watch in the event of fire or accident, particularly oil </w:t>
            </w:r>
            <w:proofErr w:type="spellStart"/>
            <w:r w:rsidR="003460F5">
              <w:rPr>
                <w:rFonts w:cs="Arial"/>
                <w:b w:val="0"/>
              </w:rPr>
              <w:t>systems</w:t>
            </w:r>
            <w:r w:rsidRPr="009B1A9A">
              <w:rPr>
                <w:rFonts w:cs="Arial"/>
                <w:b w:val="0"/>
              </w:rPr>
              <w:t>t</w:t>
            </w:r>
            <w:r w:rsidR="003460F5" w:rsidRPr="009B1A9A">
              <w:rPr>
                <w:rFonts w:cs="Arial"/>
                <w:b w:val="0"/>
              </w:rPr>
              <w:t>he</w:t>
            </w:r>
            <w:proofErr w:type="spellEnd"/>
            <w:r w:rsidR="003460F5" w:rsidRPr="009B1A9A">
              <w:rPr>
                <w:rFonts w:cs="Arial"/>
                <w:b w:val="0"/>
              </w:rPr>
              <w:t xml:space="preserve"> measures, precautions and procedures to avoid pollution of the marine environment</w:t>
            </w:r>
            <w:r w:rsidR="0078529B" w:rsidRPr="009B1A9A">
              <w:rPr>
                <w:rFonts w:cs="Arial"/>
                <w:b w:val="0"/>
              </w:rPr>
              <w:t>, t</w:t>
            </w:r>
            <w:r w:rsidR="003460F5" w:rsidRPr="009B1A9A">
              <w:rPr>
                <w:rFonts w:cs="Arial"/>
                <w:b w:val="0"/>
              </w:rPr>
              <w:t xml:space="preserve">o include </w:t>
            </w:r>
            <w:r w:rsidR="009B1A9A">
              <w:rPr>
                <w:rFonts w:cs="Arial"/>
                <w:b w:val="0"/>
              </w:rPr>
              <w:t>:</w:t>
            </w:r>
          </w:p>
          <w:p w:rsidR="00E86DC2" w:rsidRDefault="009B1A9A" w:rsidP="00E86DC2">
            <w:pPr>
              <w:pStyle w:val="NOSBodyHeading"/>
              <w:spacing w:line="276" w:lineRule="auto"/>
              <w:rPr>
                <w:rFonts w:cs="Arial"/>
                <w:b w:val="0"/>
                <w:bCs/>
                <w:szCs w:val="26"/>
              </w:rPr>
            </w:pPr>
            <w:r>
              <w:rPr>
                <w:rFonts w:cs="Arial"/>
                <w:b w:val="0"/>
              </w:rPr>
              <w:t xml:space="preserve">K11.1 </w:t>
            </w:r>
            <w:r w:rsidR="003460F5" w:rsidRPr="009B1A9A">
              <w:rPr>
                <w:rFonts w:cs="Arial"/>
                <w:b w:val="0"/>
              </w:rPr>
              <w:t>restricted areas</w:t>
            </w:r>
          </w:p>
          <w:p w:rsidR="00E86DC2" w:rsidRDefault="009B1A9A" w:rsidP="00E86DC2">
            <w:pPr>
              <w:pStyle w:val="NOSBodyHeading"/>
              <w:spacing w:line="276" w:lineRule="auto"/>
              <w:rPr>
                <w:rFonts w:cs="Arial"/>
                <w:b w:val="0"/>
                <w:bCs/>
                <w:szCs w:val="26"/>
              </w:rPr>
            </w:pPr>
            <w:r>
              <w:rPr>
                <w:rFonts w:cs="Arial"/>
                <w:b w:val="0"/>
              </w:rPr>
              <w:t xml:space="preserve">K11 2 </w:t>
            </w:r>
            <w:r w:rsidR="003460F5" w:rsidRPr="009B1A9A">
              <w:rPr>
                <w:rFonts w:cs="Arial"/>
                <w:b w:val="0"/>
              </w:rPr>
              <w:t>oily water separator</w:t>
            </w:r>
          </w:p>
          <w:p w:rsidR="00E86DC2" w:rsidRDefault="009B1A9A" w:rsidP="00E86DC2">
            <w:pPr>
              <w:pStyle w:val="NOSBodyHeading"/>
              <w:spacing w:line="276" w:lineRule="auto"/>
              <w:rPr>
                <w:rFonts w:cs="Arial"/>
                <w:b w:val="0"/>
                <w:bCs/>
                <w:szCs w:val="26"/>
              </w:rPr>
            </w:pPr>
            <w:r>
              <w:rPr>
                <w:rFonts w:cs="Arial"/>
                <w:b w:val="0"/>
              </w:rPr>
              <w:t xml:space="preserve">K11.3 </w:t>
            </w:r>
            <w:r w:rsidR="003460F5" w:rsidRPr="009B1A9A">
              <w:rPr>
                <w:rFonts w:cs="Arial"/>
                <w:b w:val="0"/>
              </w:rPr>
              <w:t xml:space="preserve"> oil record book</w:t>
            </w:r>
          </w:p>
          <w:p w:rsidR="00E86DC2" w:rsidRDefault="009B1A9A" w:rsidP="00E86DC2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 xml:space="preserve">K11.4 </w:t>
            </w:r>
            <w:r w:rsidR="003460F5" w:rsidRPr="009B1A9A">
              <w:rPr>
                <w:rFonts w:cs="Arial"/>
                <w:b w:val="0"/>
              </w:rPr>
              <w:t xml:space="preserve"> disposal of pollutants</w:t>
            </w:r>
          </w:p>
          <w:p w:rsidR="00E86DC2" w:rsidRDefault="009B1A9A" w:rsidP="00E86DC2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 xml:space="preserve">K11.5 </w:t>
            </w:r>
            <w:r w:rsidR="003460F5" w:rsidRPr="009B1A9A">
              <w:rPr>
                <w:rFonts w:cs="Arial"/>
                <w:b w:val="0"/>
              </w:rPr>
              <w:t>SOPEP manual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 xml:space="preserve">he use of internal communication systems, communicating with </w:t>
            </w:r>
            <w:proofErr w:type="spellStart"/>
            <w:r w:rsidR="003460F5">
              <w:rPr>
                <w:rFonts w:cs="Arial"/>
                <w:b w:val="0"/>
              </w:rPr>
              <w:t>engineroom</w:t>
            </w:r>
            <w:proofErr w:type="spellEnd"/>
            <w:r w:rsidR="003460F5">
              <w:rPr>
                <w:rFonts w:cs="Arial"/>
                <w:b w:val="0"/>
              </w:rPr>
              <w:t xml:space="preserve"> and bridge personnel and effective forms of communication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importance and use of records for commercial and legislative purposes</w:t>
            </w:r>
          </w:p>
          <w:p w:rsidR="003460F5" w:rsidRPr="001B0A7B" w:rsidRDefault="00F95F27" w:rsidP="003460F5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3460F5">
              <w:rPr>
                <w:rFonts w:cs="Arial"/>
                <w:b w:val="0"/>
              </w:rPr>
              <w:t>he application of Statutory Regulations and guidelines, organisational instructions and guidance and vessel contingency plans</w:t>
            </w:r>
          </w:p>
          <w:p w:rsidR="00006091" w:rsidRPr="001B0A7B" w:rsidRDefault="00006091" w:rsidP="003460F5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  <w:bookmarkEnd w:id="6"/>
    </w:tbl>
    <w:p w:rsidR="0052780A" w:rsidRDefault="0052780A"/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2F1CA1" w:rsidRDefault="002F1CA1" w:rsidP="002F1CA1">
            <w:pPr>
              <w:pStyle w:val="NOSBodyText"/>
            </w:pPr>
            <w:bookmarkStart w:id="8" w:name="StartDevelopedBy"/>
            <w:bookmarkEnd w:id="8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9" w:name="EndDevelopedBy"/>
            <w:bookmarkEnd w:id="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F95F27" w:rsidP="001F6BF7">
            <w:pPr>
              <w:pStyle w:val="NOSBodyText"/>
              <w:rPr>
                <w:color w:val="221E1F"/>
              </w:rPr>
            </w:pPr>
            <w:bookmarkStart w:id="10" w:name="StartVersion"/>
            <w:bookmarkEnd w:id="10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1" w:name="EndVersion"/>
            <w:bookmarkEnd w:id="1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A35660" w:rsidP="001F6BF7">
            <w:pPr>
              <w:pStyle w:val="NOSBodyText"/>
              <w:rPr>
                <w:color w:val="221E1F"/>
              </w:rPr>
            </w:pPr>
            <w:bookmarkStart w:id="12" w:name="StartApproved"/>
            <w:bookmarkEnd w:id="12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3" w:name="EndApproved"/>
            <w:bookmarkEnd w:id="13"/>
          </w:p>
        </w:tc>
      </w:tr>
      <w:tr w:rsidR="0052780A" w:rsidRPr="00CF4D98" w:rsidTr="00690067">
        <w:tc>
          <w:tcPr>
            <w:tcW w:w="2518" w:type="dxa"/>
          </w:tcPr>
          <w:p w:rsidR="0052780A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A35660" w:rsidP="00690067">
            <w:pPr>
              <w:pStyle w:val="NOSBodyText"/>
              <w:rPr>
                <w:rStyle w:val="A3"/>
              </w:rPr>
            </w:pPr>
            <w:bookmarkStart w:id="14" w:name="StartReview"/>
            <w:bookmarkEnd w:id="14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5" w:name="EndReview"/>
            <w:bookmarkEnd w:id="15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7212AC" w:rsidP="00690067">
            <w:pPr>
              <w:pStyle w:val="NOSBodyText"/>
              <w:rPr>
                <w:rStyle w:val="A3"/>
              </w:rPr>
            </w:pPr>
            <w:bookmarkStart w:id="16" w:name="StartValidity"/>
            <w:bookmarkEnd w:id="16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7" w:name="EndValidity"/>
            <w:bookmarkEnd w:id="17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7212AC" w:rsidP="001F6BF7">
            <w:pPr>
              <w:pStyle w:val="NOSBodyText"/>
              <w:rPr>
                <w:color w:val="221E1F"/>
              </w:rPr>
            </w:pPr>
            <w:bookmarkStart w:id="18" w:name="StartStatus"/>
            <w:bookmarkEnd w:id="18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9" w:name="EndStatus"/>
            <w:bookmarkEnd w:id="19"/>
          </w:p>
        </w:tc>
      </w:tr>
      <w:tr w:rsidR="0052780A" w:rsidRPr="00CF4D98" w:rsidTr="00690067">
        <w:tc>
          <w:tcPr>
            <w:tcW w:w="2518" w:type="dxa"/>
          </w:tcPr>
          <w:p w:rsidR="0052780A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95F27" w:rsidP="001F6BF7">
            <w:pPr>
              <w:pStyle w:val="NOSBodyText"/>
              <w:rPr>
                <w:color w:val="221E1F"/>
              </w:rPr>
            </w:pPr>
            <w:bookmarkStart w:id="20" w:name="StartOrigin"/>
            <w:bookmarkEnd w:id="20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1" w:name="EndOrigin"/>
            <w:bookmarkEnd w:id="2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A35660" w:rsidP="001F6BF7">
            <w:pPr>
              <w:pStyle w:val="NOSBodyText"/>
              <w:rPr>
                <w:color w:val="221E1F"/>
              </w:rPr>
            </w:pPr>
            <w:bookmarkStart w:id="22" w:name="StartOriginURN"/>
            <w:bookmarkEnd w:id="22"/>
            <w:r>
              <w:rPr>
                <w:color w:val="221E1F"/>
              </w:rPr>
              <w:t xml:space="preserve">MSA </w:t>
            </w:r>
            <w:r w:rsidR="00AE2939">
              <w:rPr>
                <w:color w:val="221E1F"/>
              </w:rPr>
              <w:t>C03</w:t>
            </w:r>
            <w:bookmarkStart w:id="23" w:name="EndOriginURN"/>
            <w:bookmarkEnd w:id="23"/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4E05F7" w:rsidRDefault="0045123D" w:rsidP="00C96B87">
            <w:pPr>
              <w:pStyle w:val="NOSBodyText"/>
              <w:rPr>
                <w:color w:val="221E1F"/>
              </w:rPr>
            </w:pPr>
            <w:bookmarkStart w:id="24" w:name="StartOccupations"/>
            <w:bookmarkStart w:id="25" w:name="EndOccupations"/>
            <w:bookmarkEnd w:id="24"/>
            <w:bookmarkEnd w:id="25"/>
            <w:r>
              <w:rPr>
                <w:color w:val="221E1F"/>
              </w:rPr>
              <w:t>Engineer</w:t>
            </w:r>
            <w:bookmarkStart w:id="26" w:name="Endrelevant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F95F27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3719A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AE2939" w:rsidRDefault="00AE2939" w:rsidP="00AE2939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29" w:name="StartKeywords"/>
            <w:bookmarkEnd w:id="29"/>
            <w:r>
              <w:t>engineering watch; taking over; handing over; keeping watch;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A35660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35660">
      <w:rPr>
        <w:rFonts w:ascii="Arial" w:eastAsiaTheme="minorHAnsi" w:hAnsi="Arial" w:cs="Arial"/>
        <w:noProof/>
        <w:sz w:val="14"/>
        <w:szCs w:val="14"/>
      </w:rPr>
      <w:t>MSA C03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35660">
      <w:rPr>
        <w:rFonts w:ascii="Arial" w:eastAsiaTheme="minorHAnsi" w:hAnsi="Arial" w:cs="Arial"/>
        <w:noProof/>
        <w:sz w:val="14"/>
        <w:szCs w:val="14"/>
      </w:rPr>
      <w:t>Take charge of an engine room watch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3719A8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3719A8" w:rsidRPr="008C0064">
      <w:rPr>
        <w:rFonts w:ascii="Arial" w:hAnsi="Arial" w:cs="Arial"/>
        <w:sz w:val="14"/>
        <w:szCs w:val="14"/>
      </w:rPr>
      <w:fldChar w:fldCharType="separate"/>
    </w:r>
    <w:r w:rsidR="006E5FA8">
      <w:rPr>
        <w:rFonts w:ascii="Arial" w:hAnsi="Arial" w:cs="Arial"/>
        <w:noProof/>
        <w:sz w:val="14"/>
        <w:szCs w:val="14"/>
      </w:rPr>
      <w:t>4</w:t>
    </w:r>
    <w:r w:rsidR="003719A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A35660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35660">
      <w:rPr>
        <w:rFonts w:ascii="Arial" w:eastAsiaTheme="minorHAnsi" w:hAnsi="Arial" w:cs="Arial"/>
        <w:noProof/>
        <w:sz w:val="14"/>
        <w:szCs w:val="14"/>
      </w:rPr>
      <w:t>MSA C03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35660">
      <w:rPr>
        <w:rFonts w:ascii="Arial" w:eastAsiaTheme="minorHAnsi" w:hAnsi="Arial" w:cs="Arial"/>
        <w:noProof/>
        <w:sz w:val="14"/>
        <w:szCs w:val="14"/>
      </w:rPr>
      <w:t>Take charge of an engine room watch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3719A8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3719A8" w:rsidRPr="008C0064">
      <w:rPr>
        <w:rFonts w:ascii="Arial" w:hAnsi="Arial" w:cs="Arial"/>
        <w:sz w:val="14"/>
        <w:szCs w:val="14"/>
      </w:rPr>
      <w:fldChar w:fldCharType="separate"/>
    </w:r>
    <w:r w:rsidR="006E5FA8">
      <w:rPr>
        <w:rFonts w:ascii="Arial" w:hAnsi="Arial" w:cs="Arial"/>
        <w:noProof/>
        <w:sz w:val="14"/>
        <w:szCs w:val="14"/>
      </w:rPr>
      <w:t>1</w:t>
    </w:r>
    <w:r w:rsidR="003719A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3719A8" w:rsidP="002063F2">
    <w:pPr>
      <w:tabs>
        <w:tab w:val="left" w:pos="7140"/>
      </w:tabs>
    </w:pPr>
    <w:r w:rsidRPr="003719A8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AE293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F95F27">
      <w:rPr>
        <w:rFonts w:ascii="Arial" w:eastAsiaTheme="minorHAnsi" w:hAnsi="Arial" w:cs="Arial"/>
        <w:b/>
        <w:noProof/>
        <w:sz w:val="32"/>
        <w:szCs w:val="32"/>
      </w:rPr>
      <w:t>C03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51C94">
      <w:rPr>
        <w:rFonts w:ascii="Arial" w:eastAsiaTheme="minorHAnsi" w:hAnsi="Arial" w:cs="Arial"/>
        <w:noProof/>
        <w:sz w:val="32"/>
        <w:szCs w:val="32"/>
      </w:rPr>
      <w:t xml:space="preserve">Take </w:t>
    </w:r>
    <w:r w:rsidR="00836529">
      <w:rPr>
        <w:rFonts w:ascii="Arial" w:eastAsiaTheme="minorHAnsi" w:hAnsi="Arial" w:cs="Arial"/>
        <w:noProof/>
        <w:sz w:val="32"/>
        <w:szCs w:val="32"/>
      </w:rPr>
      <w:t>c</w:t>
    </w:r>
    <w:r w:rsidR="00A51C94">
      <w:rPr>
        <w:rFonts w:ascii="Arial" w:eastAsiaTheme="minorHAnsi" w:hAnsi="Arial" w:cs="Arial"/>
        <w:noProof/>
        <w:sz w:val="32"/>
        <w:szCs w:val="32"/>
      </w:rPr>
      <w:t xml:space="preserve">harge of an </w:t>
    </w:r>
    <w:r w:rsidR="00836529">
      <w:rPr>
        <w:rFonts w:ascii="Arial" w:eastAsiaTheme="minorHAnsi" w:hAnsi="Arial" w:cs="Arial"/>
        <w:noProof/>
        <w:sz w:val="32"/>
        <w:szCs w:val="32"/>
      </w:rPr>
      <w:t>e</w:t>
    </w:r>
    <w:r w:rsidR="00A51C94">
      <w:rPr>
        <w:rFonts w:ascii="Arial" w:eastAsiaTheme="minorHAnsi" w:hAnsi="Arial" w:cs="Arial"/>
        <w:noProof/>
        <w:sz w:val="32"/>
        <w:szCs w:val="32"/>
      </w:rPr>
      <w:t xml:space="preserve">ngine </w:t>
    </w:r>
    <w:r w:rsidR="00836529">
      <w:rPr>
        <w:rFonts w:ascii="Arial" w:eastAsiaTheme="minorHAnsi" w:hAnsi="Arial" w:cs="Arial"/>
        <w:noProof/>
        <w:sz w:val="32"/>
        <w:szCs w:val="32"/>
      </w:rPr>
      <w:t>r</w:t>
    </w:r>
    <w:r w:rsidR="00A51C94">
      <w:rPr>
        <w:rFonts w:ascii="Arial" w:eastAsiaTheme="minorHAnsi" w:hAnsi="Arial" w:cs="Arial"/>
        <w:noProof/>
        <w:sz w:val="32"/>
        <w:szCs w:val="32"/>
      </w:rPr>
      <w:t xml:space="preserve">oom </w:t>
    </w:r>
    <w:r w:rsidR="00836529">
      <w:rPr>
        <w:rFonts w:ascii="Arial" w:eastAsiaTheme="minorHAnsi" w:hAnsi="Arial" w:cs="Arial"/>
        <w:noProof/>
        <w:sz w:val="32"/>
        <w:szCs w:val="32"/>
      </w:rPr>
      <w:t>w</w:t>
    </w:r>
    <w:r w:rsidR="00A51C94">
      <w:rPr>
        <w:rFonts w:ascii="Arial" w:eastAsiaTheme="minorHAnsi" w:hAnsi="Arial" w:cs="Arial"/>
        <w:noProof/>
        <w:sz w:val="32"/>
        <w:szCs w:val="32"/>
      </w:rPr>
      <w:t>atch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AE2939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F95F27">
            <w:rPr>
              <w:rFonts w:ascii="Arial" w:hAnsi="Arial" w:cs="Arial"/>
              <w:b/>
              <w:sz w:val="32"/>
              <w:szCs w:val="32"/>
            </w:rPr>
            <w:t>C03</w:t>
          </w:r>
        </w:p>
        <w:p w:rsidR="009A1F82" w:rsidRPr="00DF70EE" w:rsidRDefault="00A51C94" w:rsidP="00836529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 xml:space="preserve">Take </w:t>
          </w:r>
          <w:r w:rsidR="00836529">
            <w:rPr>
              <w:rFonts w:ascii="Arial" w:hAnsi="Arial" w:cs="Arial"/>
              <w:sz w:val="32"/>
              <w:szCs w:val="32"/>
            </w:rPr>
            <w:t>c</w:t>
          </w:r>
          <w:r>
            <w:rPr>
              <w:rFonts w:ascii="Arial" w:hAnsi="Arial" w:cs="Arial"/>
              <w:sz w:val="32"/>
              <w:szCs w:val="32"/>
            </w:rPr>
            <w:t xml:space="preserve">harge of an </w:t>
          </w:r>
          <w:r w:rsidR="00836529">
            <w:rPr>
              <w:rFonts w:ascii="Arial" w:hAnsi="Arial" w:cs="Arial"/>
              <w:sz w:val="32"/>
              <w:szCs w:val="32"/>
            </w:rPr>
            <w:t>e</w:t>
          </w:r>
          <w:r>
            <w:rPr>
              <w:rFonts w:ascii="Arial" w:hAnsi="Arial" w:cs="Arial"/>
              <w:sz w:val="32"/>
              <w:szCs w:val="32"/>
            </w:rPr>
            <w:t xml:space="preserve">ngine </w:t>
          </w:r>
          <w:r w:rsidR="00836529">
            <w:rPr>
              <w:rFonts w:ascii="Arial" w:hAnsi="Arial" w:cs="Arial"/>
              <w:sz w:val="32"/>
              <w:szCs w:val="32"/>
            </w:rPr>
            <w:t>r</w:t>
          </w:r>
          <w:r>
            <w:rPr>
              <w:rFonts w:ascii="Arial" w:hAnsi="Arial" w:cs="Arial"/>
              <w:sz w:val="32"/>
              <w:szCs w:val="32"/>
            </w:rPr>
            <w:t xml:space="preserve">oom </w:t>
          </w:r>
          <w:r w:rsidR="00836529">
            <w:rPr>
              <w:rFonts w:ascii="Arial" w:hAnsi="Arial" w:cs="Arial"/>
              <w:sz w:val="32"/>
              <w:szCs w:val="32"/>
            </w:rPr>
            <w:t>w</w:t>
          </w:r>
          <w:r>
            <w:rPr>
              <w:rFonts w:ascii="Arial" w:hAnsi="Arial" w:cs="Arial"/>
              <w:sz w:val="32"/>
              <w:szCs w:val="32"/>
            </w:rPr>
            <w:t>atch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3719A8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B35B31"/>
    <w:multiLevelType w:val="multilevel"/>
    <w:tmpl w:val="537665F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D6386"/>
    <w:multiLevelType w:val="multilevel"/>
    <w:tmpl w:val="5648A34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4C20E4D"/>
    <w:multiLevelType w:val="multilevel"/>
    <w:tmpl w:val="652A9C9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1"/>
  </w:num>
  <w:num w:numId="6">
    <w:abstractNumId w:val="13"/>
  </w:num>
  <w:num w:numId="7">
    <w:abstractNumId w:val="5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4"/>
  </w:num>
  <w:num w:numId="14">
    <w:abstractNumId w:val="9"/>
  </w:num>
  <w:num w:numId="15">
    <w:abstractNumId w:val="0"/>
  </w:num>
  <w:num w:numId="16">
    <w:abstractNumId w:val="14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979E3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0FE7"/>
    <w:rsid w:val="001D17C9"/>
    <w:rsid w:val="001D4DA8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27574"/>
    <w:rsid w:val="0023057B"/>
    <w:rsid w:val="0024080B"/>
    <w:rsid w:val="002427F4"/>
    <w:rsid w:val="00243610"/>
    <w:rsid w:val="0025664D"/>
    <w:rsid w:val="00262F5D"/>
    <w:rsid w:val="00270B1B"/>
    <w:rsid w:val="002774F2"/>
    <w:rsid w:val="0028615E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1CA1"/>
    <w:rsid w:val="002F4B2F"/>
    <w:rsid w:val="002F606F"/>
    <w:rsid w:val="002F647D"/>
    <w:rsid w:val="002F786E"/>
    <w:rsid w:val="00301ADF"/>
    <w:rsid w:val="00303FD8"/>
    <w:rsid w:val="00304133"/>
    <w:rsid w:val="003053CA"/>
    <w:rsid w:val="00310CA1"/>
    <w:rsid w:val="00320442"/>
    <w:rsid w:val="003319D1"/>
    <w:rsid w:val="00333F2F"/>
    <w:rsid w:val="003438C6"/>
    <w:rsid w:val="00345B06"/>
    <w:rsid w:val="003460F5"/>
    <w:rsid w:val="003521D1"/>
    <w:rsid w:val="0036118B"/>
    <w:rsid w:val="003719A8"/>
    <w:rsid w:val="003722CD"/>
    <w:rsid w:val="00377DED"/>
    <w:rsid w:val="00380447"/>
    <w:rsid w:val="00387C8A"/>
    <w:rsid w:val="00395A16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0167C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23D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274D1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4A28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E5FA8"/>
    <w:rsid w:val="006F0706"/>
    <w:rsid w:val="006F3CA8"/>
    <w:rsid w:val="007017D1"/>
    <w:rsid w:val="007156AF"/>
    <w:rsid w:val="00715D93"/>
    <w:rsid w:val="007212AC"/>
    <w:rsid w:val="00724E04"/>
    <w:rsid w:val="00726306"/>
    <w:rsid w:val="00742745"/>
    <w:rsid w:val="00753242"/>
    <w:rsid w:val="007613C5"/>
    <w:rsid w:val="00762896"/>
    <w:rsid w:val="00762E29"/>
    <w:rsid w:val="00780EAB"/>
    <w:rsid w:val="0078529B"/>
    <w:rsid w:val="00785D30"/>
    <w:rsid w:val="00791C53"/>
    <w:rsid w:val="007A13ED"/>
    <w:rsid w:val="007B0672"/>
    <w:rsid w:val="007C232F"/>
    <w:rsid w:val="007C55A6"/>
    <w:rsid w:val="007C7DC5"/>
    <w:rsid w:val="007D3CB0"/>
    <w:rsid w:val="007D52B7"/>
    <w:rsid w:val="007D7AE6"/>
    <w:rsid w:val="007E7D16"/>
    <w:rsid w:val="00820624"/>
    <w:rsid w:val="0082306F"/>
    <w:rsid w:val="00823628"/>
    <w:rsid w:val="00836529"/>
    <w:rsid w:val="0084302D"/>
    <w:rsid w:val="00847EA7"/>
    <w:rsid w:val="00851489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1A9A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2299D"/>
    <w:rsid w:val="00A35660"/>
    <w:rsid w:val="00A51C94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D1670"/>
    <w:rsid w:val="00AE2939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1B7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96B87"/>
    <w:rsid w:val="00CA0B6C"/>
    <w:rsid w:val="00CA0B7E"/>
    <w:rsid w:val="00CA0BEC"/>
    <w:rsid w:val="00CA3700"/>
    <w:rsid w:val="00CC2785"/>
    <w:rsid w:val="00CF16D8"/>
    <w:rsid w:val="00D03896"/>
    <w:rsid w:val="00D13FFB"/>
    <w:rsid w:val="00D1503A"/>
    <w:rsid w:val="00D15081"/>
    <w:rsid w:val="00D27CC8"/>
    <w:rsid w:val="00D33BD9"/>
    <w:rsid w:val="00D50956"/>
    <w:rsid w:val="00D646F9"/>
    <w:rsid w:val="00D762B7"/>
    <w:rsid w:val="00D843C2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4A5B"/>
    <w:rsid w:val="00E06A72"/>
    <w:rsid w:val="00E1299D"/>
    <w:rsid w:val="00E2189F"/>
    <w:rsid w:val="00E23877"/>
    <w:rsid w:val="00E25B9A"/>
    <w:rsid w:val="00E27661"/>
    <w:rsid w:val="00E30B15"/>
    <w:rsid w:val="00E569AA"/>
    <w:rsid w:val="00E664BC"/>
    <w:rsid w:val="00E66529"/>
    <w:rsid w:val="00E80A62"/>
    <w:rsid w:val="00E86DC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366FB"/>
    <w:rsid w:val="00F3747A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5F27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2"/>
        <o:r id="V:Rule14" type="connector" idref="#_x0000_s1044"/>
        <o:r id="V:Rule15" type="connector" idref="#_x0000_s1045"/>
        <o:r id="V:Rule16" type="connector" idref="#_x0000_s1058"/>
        <o:r id="V:Rule17" type="connector" idref="#_x0000_s1040"/>
        <o:r id="V:Rule18" type="connector" idref="#_x0000_s1046"/>
        <o:r id="V:Rule19" type="connector" idref="#_x0000_s1043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514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4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4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4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4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D05CE"/>
    <w:rsid w:val="000D7B09"/>
    <w:rsid w:val="00135B2C"/>
    <w:rsid w:val="00282F70"/>
    <w:rsid w:val="002C46EF"/>
    <w:rsid w:val="00401C66"/>
    <w:rsid w:val="00462417"/>
    <w:rsid w:val="0053637E"/>
    <w:rsid w:val="00567979"/>
    <w:rsid w:val="005B7907"/>
    <w:rsid w:val="00691D82"/>
    <w:rsid w:val="006D37C5"/>
    <w:rsid w:val="00752FD9"/>
    <w:rsid w:val="00857269"/>
    <w:rsid w:val="008777D8"/>
    <w:rsid w:val="008960EC"/>
    <w:rsid w:val="008B5E4D"/>
    <w:rsid w:val="009013DA"/>
    <w:rsid w:val="00917BA5"/>
    <w:rsid w:val="009D0A55"/>
    <w:rsid w:val="00B37502"/>
    <w:rsid w:val="00BA3E07"/>
    <w:rsid w:val="00C844BE"/>
    <w:rsid w:val="00CE1085"/>
    <w:rsid w:val="00D84E80"/>
    <w:rsid w:val="00E62584"/>
    <w:rsid w:val="00E72C71"/>
    <w:rsid w:val="00EC63D3"/>
    <w:rsid w:val="00ED332B"/>
    <w:rsid w:val="00F036A0"/>
    <w:rsid w:val="00F87507"/>
    <w:rsid w:val="00FF03A7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8CD6F-62BE-4E26-BAFF-B76DD7A0F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D5A517-40B0-4C31-B1AC-F3F660B7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cp:lastPrinted>2011-12-12T14:56:00Z</cp:lastPrinted>
  <dcterms:created xsi:type="dcterms:W3CDTF">2011-11-15T12:07:00Z</dcterms:created>
  <dcterms:modified xsi:type="dcterms:W3CDTF">2012-02-23T14:22:00Z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