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BE051E"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6D49DF" w:rsidRDefault="006D49DF" w:rsidP="006D49DF">
            <w:pPr>
              <w:pStyle w:val="NOSNumberList"/>
              <w:numPr>
                <w:ilvl w:val="0"/>
                <w:numId w:val="0"/>
              </w:numPr>
              <w:spacing w:line="276" w:lineRule="exact"/>
            </w:pPr>
            <w:bookmarkStart w:id="1" w:name="StartOverview"/>
            <w:bookmarkEnd w:id="1"/>
            <w:r>
              <w:t>This standard covers the competence required when moving another vessel, or object, in a controlled manner through to</w:t>
            </w:r>
            <w:r w:rsidR="000B16E5">
              <w:t>wing and/or pushing that vessel, when towing is being undertaken by vessels other than tugs.</w:t>
            </w:r>
          </w:p>
          <w:p w:rsidR="006D49DF" w:rsidRDefault="006D49DF" w:rsidP="006D49DF">
            <w:pPr>
              <w:pStyle w:val="NOSNumberList"/>
              <w:numPr>
                <w:ilvl w:val="0"/>
                <w:numId w:val="0"/>
              </w:numPr>
              <w:spacing w:line="276" w:lineRule="exact"/>
            </w:pPr>
          </w:p>
          <w:p w:rsidR="006D49DF" w:rsidRDefault="000B16E5" w:rsidP="006D49DF">
            <w:pPr>
              <w:pStyle w:val="NOSNumberList"/>
              <w:numPr>
                <w:ilvl w:val="0"/>
                <w:numId w:val="0"/>
              </w:numPr>
              <w:spacing w:line="276" w:lineRule="exact"/>
            </w:pPr>
            <w:r>
              <w:t>For brevity, ‘</w:t>
            </w:r>
            <w:r w:rsidR="006D49DF">
              <w:t>tow' is used throughout this standard.   However, wherever the term tow, or towing, is used in this standard it should be taken to apply to pushing as well, such that the standard applies equally to towing and/or pushing.</w:t>
            </w:r>
          </w:p>
          <w:p w:rsidR="006D49DF" w:rsidRDefault="006D49DF" w:rsidP="006D49DF">
            <w:pPr>
              <w:pStyle w:val="NOSNumberList"/>
              <w:numPr>
                <w:ilvl w:val="0"/>
                <w:numId w:val="0"/>
              </w:numPr>
              <w:spacing w:line="276" w:lineRule="exact"/>
            </w:pPr>
          </w:p>
          <w:p w:rsidR="006D49DF" w:rsidRDefault="006D49DF" w:rsidP="006D49DF">
            <w:pPr>
              <w:pStyle w:val="NOSNumberList"/>
              <w:numPr>
                <w:ilvl w:val="0"/>
                <w:numId w:val="0"/>
              </w:numPr>
              <w:spacing w:line="276" w:lineRule="exact"/>
            </w:pPr>
            <w:r>
              <w:t>The standard applies to towing/pushing in port, inland and coastal waters, and covers</w:t>
            </w:r>
          </w:p>
          <w:p w:rsidR="006D49DF" w:rsidRDefault="006D49DF" w:rsidP="006D49DF">
            <w:pPr>
              <w:pStyle w:val="NOSNumberList"/>
              <w:numPr>
                <w:ilvl w:val="0"/>
                <w:numId w:val="16"/>
              </w:numPr>
              <w:spacing w:line="276" w:lineRule="exact"/>
            </w:pPr>
            <w:r>
              <w:t>pulling behind,</w:t>
            </w:r>
          </w:p>
          <w:p w:rsidR="006D49DF" w:rsidRDefault="006D49DF" w:rsidP="006D49DF">
            <w:pPr>
              <w:pStyle w:val="NOSNumberList"/>
              <w:numPr>
                <w:ilvl w:val="0"/>
                <w:numId w:val="16"/>
              </w:numPr>
              <w:spacing w:line="276" w:lineRule="exact"/>
            </w:pPr>
            <w:r>
              <w:t>pushing ahead,</w:t>
            </w:r>
          </w:p>
          <w:p w:rsidR="006D49DF" w:rsidRDefault="006D49DF" w:rsidP="006D49DF">
            <w:pPr>
              <w:pStyle w:val="NOSNumberList"/>
              <w:numPr>
                <w:ilvl w:val="0"/>
                <w:numId w:val="16"/>
              </w:numPr>
              <w:spacing w:line="276" w:lineRule="exact"/>
            </w:pPr>
            <w:r>
              <w:t>towing alongside,</w:t>
            </w:r>
          </w:p>
          <w:p w:rsidR="006D49DF" w:rsidRDefault="006D49DF" w:rsidP="006D49DF">
            <w:pPr>
              <w:pStyle w:val="NOSNumberList"/>
              <w:numPr>
                <w:ilvl w:val="0"/>
                <w:numId w:val="16"/>
              </w:numPr>
              <w:spacing w:line="276" w:lineRule="exact"/>
            </w:pPr>
            <w:proofErr w:type="gramStart"/>
            <w:r>
              <w:t>multiple</w:t>
            </w:r>
            <w:proofErr w:type="gramEnd"/>
            <w:r>
              <w:t xml:space="preserve"> tows.</w:t>
            </w:r>
          </w:p>
          <w:p w:rsidR="000B16E5" w:rsidRDefault="000B16E5" w:rsidP="000B16E5">
            <w:pPr>
              <w:pStyle w:val="NOSNumberList"/>
              <w:numPr>
                <w:ilvl w:val="0"/>
                <w:numId w:val="0"/>
              </w:numPr>
              <w:spacing w:line="276" w:lineRule="exact"/>
              <w:ind w:left="567" w:hanging="567"/>
            </w:pPr>
          </w:p>
          <w:p w:rsidR="000B16E5" w:rsidRPr="000B16E5" w:rsidRDefault="000B16E5" w:rsidP="006D49DF">
            <w:pPr>
              <w:pStyle w:val="NOSNumberList"/>
              <w:numPr>
                <w:ilvl w:val="0"/>
                <w:numId w:val="0"/>
              </w:numPr>
              <w:spacing w:line="276" w:lineRule="exact"/>
              <w:rPr>
                <w:b/>
              </w:rPr>
            </w:pPr>
            <w:r>
              <w:rPr>
                <w:b/>
              </w:rPr>
              <w:t>Target Group</w:t>
            </w:r>
          </w:p>
          <w:p w:rsidR="006D49DF" w:rsidRDefault="006D49DF" w:rsidP="006D49DF">
            <w:pPr>
              <w:pStyle w:val="NOSNumberList"/>
              <w:numPr>
                <w:ilvl w:val="0"/>
                <w:numId w:val="0"/>
              </w:numPr>
              <w:spacing w:line="276" w:lineRule="exact"/>
            </w:pPr>
            <w:r>
              <w:t>This standard applies to individuals at the operational level with responsibility for towing and/or pushing other vessels or objects in inland or coastal waters, and who work singly or in small crews.</w:t>
            </w:r>
          </w:p>
          <w:p w:rsidR="006D49DF" w:rsidRDefault="006D49DF" w:rsidP="006D49DF">
            <w:pPr>
              <w:pStyle w:val="NOSNumberList"/>
              <w:numPr>
                <w:ilvl w:val="0"/>
                <w:numId w:val="0"/>
              </w:numPr>
              <w:spacing w:line="276" w:lineRule="exact"/>
            </w:pPr>
          </w:p>
          <w:p w:rsidR="00EE5D4B" w:rsidRDefault="00EE5D4B" w:rsidP="000B16E5">
            <w:pPr>
              <w:pStyle w:val="NOSNumberList"/>
              <w:numPr>
                <w:ilvl w:val="0"/>
                <w:numId w:val="0"/>
              </w:numPr>
              <w:spacing w:line="276" w:lineRule="exact"/>
              <w:ind w:left="567"/>
            </w:pP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BE051E"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A34BC4" w:rsidRDefault="00A34BC4" w:rsidP="00A34BC4">
            <w:pPr>
              <w:pStyle w:val="NOSBodyHeading"/>
              <w:spacing w:line="276" w:lineRule="auto"/>
              <w:rPr>
                <w:b w:val="0"/>
              </w:rPr>
            </w:pPr>
            <w:bookmarkStart w:id="4" w:name="StartPerformance"/>
            <w:bookmarkEnd w:id="4"/>
          </w:p>
          <w:p w:rsidR="00A34BC4" w:rsidRDefault="00A34BC4" w:rsidP="00A34BC4">
            <w:pPr>
              <w:pStyle w:val="NOSBodyHeading"/>
              <w:spacing w:line="276" w:lineRule="auto"/>
              <w:rPr>
                <w:b w:val="0"/>
              </w:rPr>
            </w:pPr>
          </w:p>
          <w:p w:rsidR="00A34BC4" w:rsidRDefault="00A34BC4" w:rsidP="00A34BC4">
            <w:pPr>
              <w:pStyle w:val="NOSBodyHeading"/>
              <w:spacing w:line="276" w:lineRule="auto"/>
              <w:rPr>
                <w:b w:val="0"/>
              </w:rPr>
            </w:pPr>
          </w:p>
          <w:p w:rsidR="00A34BC4" w:rsidRPr="001B0A7B" w:rsidRDefault="000B16E5" w:rsidP="00A34BC4">
            <w:pPr>
              <w:pStyle w:val="NOSBodyHeading"/>
              <w:numPr>
                <w:ilvl w:val="0"/>
                <w:numId w:val="17"/>
              </w:numPr>
              <w:spacing w:line="276" w:lineRule="auto"/>
              <w:rPr>
                <w:b w:val="0"/>
              </w:rPr>
            </w:pPr>
            <w:r>
              <w:rPr>
                <w:b w:val="0"/>
              </w:rPr>
              <w:t>i</w:t>
            </w:r>
            <w:r w:rsidR="00A34BC4">
              <w:rPr>
                <w:b w:val="0"/>
              </w:rPr>
              <w:t>nspect the vessel to be towed and establish correctly that it is safe to tow to the planned destination</w:t>
            </w:r>
          </w:p>
          <w:p w:rsidR="00A34BC4" w:rsidRPr="001B0A7B" w:rsidRDefault="000B16E5" w:rsidP="00A34BC4">
            <w:pPr>
              <w:pStyle w:val="NOSBodyHeading"/>
              <w:numPr>
                <w:ilvl w:val="0"/>
                <w:numId w:val="17"/>
              </w:numPr>
              <w:spacing w:line="276" w:lineRule="auto"/>
              <w:rPr>
                <w:b w:val="0"/>
              </w:rPr>
            </w:pPr>
            <w:r>
              <w:rPr>
                <w:b w:val="0"/>
              </w:rPr>
              <w:t>i</w:t>
            </w:r>
            <w:r w:rsidR="00A34BC4">
              <w:rPr>
                <w:b w:val="0"/>
              </w:rPr>
              <w:t>nform the relevant authority promptly where you assess the vessel to be unfit for towing, stating the reasons clearly</w:t>
            </w:r>
          </w:p>
          <w:p w:rsidR="00A34BC4" w:rsidRPr="001B0A7B" w:rsidRDefault="000B16E5" w:rsidP="00A34BC4">
            <w:pPr>
              <w:pStyle w:val="NOSBodyHeading"/>
              <w:numPr>
                <w:ilvl w:val="0"/>
                <w:numId w:val="17"/>
              </w:numPr>
              <w:spacing w:line="276" w:lineRule="auto"/>
              <w:rPr>
                <w:b w:val="0"/>
              </w:rPr>
            </w:pPr>
            <w:r>
              <w:rPr>
                <w:b w:val="0"/>
              </w:rPr>
              <w:t>w</w:t>
            </w:r>
            <w:r w:rsidR="00A34BC4">
              <w:rPr>
                <w:b w:val="0"/>
              </w:rPr>
              <w:t>here necessary, ensure that all statutory, regulatory and other requirements for the tow are identified and met, and comply with all navigational, reporting and warning</w:t>
            </w:r>
            <w:r w:rsidR="00BF3328">
              <w:rPr>
                <w:b w:val="0"/>
              </w:rPr>
              <w:t xml:space="preserve"> requirements</w:t>
            </w:r>
          </w:p>
          <w:p w:rsidR="00A34BC4" w:rsidRPr="001B0A7B" w:rsidRDefault="000B16E5" w:rsidP="00A34BC4">
            <w:pPr>
              <w:pStyle w:val="NOSBodyHeading"/>
              <w:numPr>
                <w:ilvl w:val="0"/>
                <w:numId w:val="17"/>
              </w:numPr>
              <w:spacing w:line="276" w:lineRule="auto"/>
              <w:rPr>
                <w:b w:val="0"/>
              </w:rPr>
            </w:pPr>
            <w:r>
              <w:rPr>
                <w:b w:val="0"/>
              </w:rPr>
              <w:t>a</w:t>
            </w:r>
            <w:r w:rsidR="00A34BC4">
              <w:rPr>
                <w:b w:val="0"/>
              </w:rPr>
              <w:t>ssess the circumstances affecting the requirement for a tow, and determine correctly any risks involved</w:t>
            </w:r>
          </w:p>
          <w:p w:rsidR="00A34BC4" w:rsidRPr="001B0A7B" w:rsidRDefault="000B16E5" w:rsidP="00A34BC4">
            <w:pPr>
              <w:pStyle w:val="NOSBodyHeading"/>
              <w:numPr>
                <w:ilvl w:val="0"/>
                <w:numId w:val="17"/>
              </w:numPr>
              <w:spacing w:line="276" w:lineRule="auto"/>
              <w:rPr>
                <w:b w:val="0"/>
              </w:rPr>
            </w:pPr>
            <w:r>
              <w:rPr>
                <w:b w:val="0"/>
              </w:rPr>
              <w:t>p</w:t>
            </w:r>
            <w:r w:rsidR="00A34BC4">
              <w:rPr>
                <w:b w:val="0"/>
              </w:rPr>
              <w:t>lan  the  tow,  identifying  correctly  the  actions  required,  taking  into  account  the characteristics of the tow, and any relevant navigational restrictions, determining the best method for towing</w:t>
            </w:r>
          </w:p>
          <w:p w:rsidR="00A34BC4" w:rsidRPr="001B0A7B" w:rsidRDefault="000B16E5" w:rsidP="00A34BC4">
            <w:pPr>
              <w:pStyle w:val="NOSBodyHeading"/>
              <w:numPr>
                <w:ilvl w:val="0"/>
                <w:numId w:val="17"/>
              </w:numPr>
              <w:spacing w:line="276" w:lineRule="auto"/>
              <w:rPr>
                <w:b w:val="0"/>
              </w:rPr>
            </w:pPr>
            <w:r>
              <w:rPr>
                <w:b w:val="0"/>
              </w:rPr>
              <w:t>e</w:t>
            </w:r>
            <w:r w:rsidR="00A34BC4">
              <w:rPr>
                <w:b w:val="0"/>
              </w:rPr>
              <w:t>stablish and maintain clear and appropriate communications between your vessel and that to be towed</w:t>
            </w:r>
          </w:p>
          <w:p w:rsidR="00A34BC4" w:rsidRPr="001B0A7B" w:rsidRDefault="000B16E5" w:rsidP="00A34BC4">
            <w:pPr>
              <w:pStyle w:val="NOSBodyHeading"/>
              <w:numPr>
                <w:ilvl w:val="0"/>
                <w:numId w:val="17"/>
              </w:numPr>
              <w:spacing w:line="276" w:lineRule="auto"/>
              <w:rPr>
                <w:b w:val="0"/>
              </w:rPr>
            </w:pPr>
            <w:r>
              <w:rPr>
                <w:b w:val="0"/>
              </w:rPr>
              <w:t>b</w:t>
            </w:r>
            <w:r w:rsidR="00A34BC4">
              <w:rPr>
                <w:b w:val="0"/>
              </w:rPr>
              <w:t>rief all concerned clearly and correctly on the actions to be taken, ensuring that everyone understands their role and the emphasis upon safety</w:t>
            </w:r>
          </w:p>
          <w:p w:rsidR="00A34BC4" w:rsidRPr="001B0A7B" w:rsidRDefault="000B16E5" w:rsidP="00A34BC4">
            <w:pPr>
              <w:pStyle w:val="NOSBodyHeading"/>
              <w:numPr>
                <w:ilvl w:val="0"/>
                <w:numId w:val="17"/>
              </w:numPr>
              <w:spacing w:line="276" w:lineRule="auto"/>
              <w:rPr>
                <w:b w:val="0"/>
              </w:rPr>
            </w:pPr>
            <w:r>
              <w:rPr>
                <w:b w:val="0"/>
              </w:rPr>
              <w:t>p</w:t>
            </w:r>
            <w:r w:rsidR="00A34BC4">
              <w:rPr>
                <w:b w:val="0"/>
              </w:rPr>
              <w:t>repare correctly all necessary equipment for towing and rigging, checking for damage prior to taking a tow, making good and reporting any faults before use</w:t>
            </w:r>
          </w:p>
          <w:p w:rsidR="00A34BC4" w:rsidRPr="001B0A7B" w:rsidRDefault="000B16E5" w:rsidP="00A34BC4">
            <w:pPr>
              <w:pStyle w:val="NOSBodyHeading"/>
              <w:numPr>
                <w:ilvl w:val="0"/>
                <w:numId w:val="17"/>
              </w:numPr>
              <w:spacing w:line="276" w:lineRule="auto"/>
              <w:rPr>
                <w:b w:val="0"/>
              </w:rPr>
            </w:pPr>
            <w:r>
              <w:rPr>
                <w:b w:val="0"/>
              </w:rPr>
              <w:t>i</w:t>
            </w:r>
            <w:r w:rsidR="00A34BC4">
              <w:rPr>
                <w:b w:val="0"/>
              </w:rPr>
              <w:t>dentify where the transfer of a crew member to the vessel to be towed would assist the  towing  operation,  and</w:t>
            </w:r>
            <w:r w:rsidR="00342D14">
              <w:rPr>
                <w:b w:val="0"/>
              </w:rPr>
              <w:t>,</w:t>
            </w:r>
            <w:r w:rsidR="00A34BC4">
              <w:rPr>
                <w:b w:val="0"/>
              </w:rPr>
              <w:t xml:space="preserve">  where  relevant,  undertake  such  a  transfer  safely  and correctly</w:t>
            </w:r>
          </w:p>
          <w:p w:rsidR="00A34BC4" w:rsidRPr="001B0A7B" w:rsidRDefault="000B16E5" w:rsidP="00A34BC4">
            <w:pPr>
              <w:pStyle w:val="NOSBodyHeading"/>
              <w:numPr>
                <w:ilvl w:val="0"/>
                <w:numId w:val="17"/>
              </w:numPr>
              <w:spacing w:line="276" w:lineRule="auto"/>
              <w:rPr>
                <w:b w:val="0"/>
              </w:rPr>
            </w:pPr>
            <w:r>
              <w:rPr>
                <w:b w:val="0"/>
              </w:rPr>
              <w:t>r</w:t>
            </w:r>
            <w:r w:rsidR="00A34BC4">
              <w:rPr>
                <w:b w:val="0"/>
              </w:rPr>
              <w:t>ig, secure and deploy the towing equipment correctly, taking necessary actions to protect both vessels and to minimise the effect of chafe</w:t>
            </w:r>
          </w:p>
          <w:p w:rsidR="00A34BC4" w:rsidRPr="001B0A7B" w:rsidRDefault="000B16E5" w:rsidP="00A34BC4">
            <w:pPr>
              <w:pStyle w:val="NOSBodyHeading"/>
              <w:numPr>
                <w:ilvl w:val="0"/>
                <w:numId w:val="17"/>
              </w:numPr>
              <w:spacing w:line="276" w:lineRule="auto"/>
              <w:rPr>
                <w:b w:val="0"/>
              </w:rPr>
            </w:pPr>
            <w:r>
              <w:rPr>
                <w:b w:val="0"/>
              </w:rPr>
              <w:t>e</w:t>
            </w:r>
            <w:r w:rsidR="00A34BC4">
              <w:rPr>
                <w:b w:val="0"/>
              </w:rPr>
              <w:t>nsure that the correct audible and visual signals indicate towing</w:t>
            </w:r>
          </w:p>
          <w:p w:rsidR="00A34BC4" w:rsidRPr="001B0A7B" w:rsidRDefault="000B16E5" w:rsidP="00A34BC4">
            <w:pPr>
              <w:pStyle w:val="NOSBodyHeading"/>
              <w:numPr>
                <w:ilvl w:val="0"/>
                <w:numId w:val="17"/>
              </w:numPr>
              <w:spacing w:line="276" w:lineRule="auto"/>
              <w:rPr>
                <w:b w:val="0"/>
              </w:rPr>
            </w:pPr>
            <w:r>
              <w:rPr>
                <w:b w:val="0"/>
              </w:rPr>
              <w:t>m</w:t>
            </w:r>
            <w:r w:rsidR="00A34BC4">
              <w:rPr>
                <w:b w:val="0"/>
              </w:rPr>
              <w:t>onitor the tow, and make any necessary adjustments correctly and safely</w:t>
            </w:r>
          </w:p>
          <w:p w:rsidR="00A34BC4" w:rsidRPr="001B0A7B" w:rsidRDefault="000B16E5" w:rsidP="00A34BC4">
            <w:pPr>
              <w:pStyle w:val="NOSBodyHeading"/>
              <w:numPr>
                <w:ilvl w:val="0"/>
                <w:numId w:val="17"/>
              </w:numPr>
              <w:spacing w:line="276" w:lineRule="auto"/>
              <w:rPr>
                <w:b w:val="0"/>
              </w:rPr>
            </w:pPr>
            <w:r>
              <w:rPr>
                <w:b w:val="0"/>
              </w:rPr>
              <w:t>e</w:t>
            </w:r>
            <w:r w:rsidR="00A34BC4">
              <w:rPr>
                <w:b w:val="0"/>
              </w:rPr>
              <w:t>stablish communications with those receiving the tow and other relevant authorities, and ensure that preparations for receiving the tow on arrival are in place</w:t>
            </w:r>
          </w:p>
          <w:p w:rsidR="003C6D88" w:rsidRPr="001B0A7B" w:rsidRDefault="000B16E5" w:rsidP="00A34BC4">
            <w:pPr>
              <w:pStyle w:val="NOSBodyHeading"/>
              <w:numPr>
                <w:ilvl w:val="0"/>
                <w:numId w:val="17"/>
              </w:numPr>
              <w:spacing w:line="276" w:lineRule="auto"/>
              <w:rPr>
                <w:b w:val="0"/>
              </w:rPr>
            </w:pPr>
            <w:r>
              <w:rPr>
                <w:b w:val="0"/>
              </w:rPr>
              <w:t>d</w:t>
            </w:r>
            <w:r w:rsidR="00A34BC4">
              <w:rPr>
                <w:b w:val="0"/>
              </w:rPr>
              <w:t>isengage the tow correctly and safely</w:t>
            </w:r>
          </w:p>
        </w:tc>
      </w:tr>
    </w:tbl>
    <w:p w:rsidR="0052780A" w:rsidRDefault="0052780A" w:rsidP="0052780A">
      <w:bookmarkStart w:id="5" w:name="EndPerformance"/>
      <w:bookmarkEnd w:id="3"/>
      <w:bookmarkEnd w:id="5"/>
    </w:p>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BE051E"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6"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043D25" w:rsidRDefault="00043D25" w:rsidP="00043D25">
            <w:pPr>
              <w:pStyle w:val="NOSBodyHeading"/>
              <w:spacing w:line="276" w:lineRule="auto"/>
              <w:rPr>
                <w:rFonts w:cs="Arial"/>
                <w:b w:val="0"/>
              </w:rPr>
            </w:pPr>
            <w:bookmarkStart w:id="7" w:name="StartKnowledge"/>
            <w:bookmarkEnd w:id="7"/>
          </w:p>
          <w:p w:rsidR="00043D25" w:rsidRDefault="00043D25" w:rsidP="00043D25">
            <w:pPr>
              <w:pStyle w:val="NOSBodyHeading"/>
              <w:spacing w:line="276" w:lineRule="auto"/>
              <w:rPr>
                <w:b w:val="0"/>
              </w:rPr>
            </w:pPr>
          </w:p>
          <w:p w:rsidR="00043D25" w:rsidRDefault="00043D25" w:rsidP="00043D25">
            <w:pPr>
              <w:pStyle w:val="NOSBodyHeading"/>
              <w:spacing w:line="276" w:lineRule="auto"/>
              <w:rPr>
                <w:b w:val="0"/>
              </w:rPr>
            </w:pPr>
          </w:p>
          <w:p w:rsidR="00043D25" w:rsidRPr="001B0A7B" w:rsidRDefault="000B16E5" w:rsidP="00043D25">
            <w:pPr>
              <w:pStyle w:val="NOSBodyHeading"/>
              <w:numPr>
                <w:ilvl w:val="0"/>
                <w:numId w:val="18"/>
              </w:numPr>
              <w:spacing w:line="276" w:lineRule="auto"/>
              <w:rPr>
                <w:b w:val="0"/>
              </w:rPr>
            </w:pPr>
            <w:r>
              <w:rPr>
                <w:b w:val="0"/>
              </w:rPr>
              <w:t>s</w:t>
            </w:r>
            <w:r w:rsidR="00043D25">
              <w:rPr>
                <w:b w:val="0"/>
              </w:rPr>
              <w:t xml:space="preserve">tatutory, regulatory and other requirements affecting towing within your area of responsibility, including  requirements regarding the correct audio and visual signals to indicate towing,  navigational, reporting and warning requirements on towing operations and the impact </w:t>
            </w:r>
            <w:r w:rsidR="000074FB">
              <w:rPr>
                <w:b w:val="0"/>
              </w:rPr>
              <w:t xml:space="preserve">of these </w:t>
            </w:r>
            <w:r w:rsidR="00043D25">
              <w:rPr>
                <w:b w:val="0"/>
              </w:rPr>
              <w:t>on your own operations</w:t>
            </w:r>
          </w:p>
          <w:p w:rsidR="00043D25" w:rsidRPr="001B0A7B" w:rsidRDefault="000B16E5" w:rsidP="00043D25">
            <w:pPr>
              <w:pStyle w:val="NOSBodyHeading"/>
              <w:numPr>
                <w:ilvl w:val="0"/>
                <w:numId w:val="18"/>
              </w:numPr>
              <w:spacing w:line="276" w:lineRule="auto"/>
              <w:rPr>
                <w:b w:val="0"/>
              </w:rPr>
            </w:pPr>
            <w:r>
              <w:rPr>
                <w:b w:val="0"/>
              </w:rPr>
              <w:t>f</w:t>
            </w:r>
            <w:r w:rsidR="00043D25">
              <w:rPr>
                <w:b w:val="0"/>
              </w:rPr>
              <w:t>actors to consider when assessing whether a vessel is fit for towing</w:t>
            </w:r>
          </w:p>
          <w:p w:rsidR="00043D25" w:rsidRPr="001B0A7B" w:rsidRDefault="00043D25" w:rsidP="00043D25">
            <w:pPr>
              <w:pStyle w:val="NOSBodyHeading"/>
              <w:numPr>
                <w:ilvl w:val="0"/>
                <w:numId w:val="18"/>
              </w:numPr>
              <w:spacing w:line="276" w:lineRule="auto"/>
              <w:rPr>
                <w:b w:val="0"/>
              </w:rPr>
            </w:pPr>
            <w:r>
              <w:rPr>
                <w:b w:val="0"/>
              </w:rPr>
              <w:t xml:space="preserve"> factors to take into consideration when planning to take a vessel under tow, their impact upon the towing method, and how to make contingencies in addressing any uncertainties when planning the tow</w:t>
            </w:r>
          </w:p>
          <w:p w:rsidR="00043D25" w:rsidRPr="001B0A7B" w:rsidRDefault="000B16E5" w:rsidP="00043D25">
            <w:pPr>
              <w:pStyle w:val="NOSBodyHeading"/>
              <w:numPr>
                <w:ilvl w:val="0"/>
                <w:numId w:val="18"/>
              </w:numPr>
              <w:spacing w:line="276" w:lineRule="auto"/>
              <w:rPr>
                <w:b w:val="0"/>
              </w:rPr>
            </w:pPr>
            <w:r>
              <w:rPr>
                <w:b w:val="0"/>
              </w:rPr>
              <w:t>n</w:t>
            </w:r>
            <w:r w:rsidR="00043D25">
              <w:rPr>
                <w:b w:val="0"/>
              </w:rPr>
              <w:t>avigational restrictions which may affect a towing operation</w:t>
            </w:r>
          </w:p>
          <w:p w:rsidR="00043D25" w:rsidRPr="001B0A7B" w:rsidRDefault="000B16E5" w:rsidP="00043D25">
            <w:pPr>
              <w:pStyle w:val="NOSBodyHeading"/>
              <w:numPr>
                <w:ilvl w:val="0"/>
                <w:numId w:val="18"/>
              </w:numPr>
              <w:spacing w:line="276" w:lineRule="auto"/>
              <w:rPr>
                <w:b w:val="0"/>
              </w:rPr>
            </w:pPr>
            <w:r>
              <w:rPr>
                <w:b w:val="0"/>
              </w:rPr>
              <w:t>d</w:t>
            </w:r>
            <w:r w:rsidR="00043D25">
              <w:rPr>
                <w:b w:val="0"/>
              </w:rPr>
              <w:t>ifferent methods of towing, and their relative advantages and disadvantages</w:t>
            </w:r>
          </w:p>
          <w:p w:rsidR="00043D25" w:rsidRPr="001B0A7B" w:rsidRDefault="000B16E5" w:rsidP="00043D25">
            <w:pPr>
              <w:pStyle w:val="NOSBodyHeading"/>
              <w:numPr>
                <w:ilvl w:val="0"/>
                <w:numId w:val="18"/>
              </w:numPr>
              <w:spacing w:line="276" w:lineRule="auto"/>
              <w:rPr>
                <w:b w:val="0"/>
              </w:rPr>
            </w:pPr>
            <w:r>
              <w:rPr>
                <w:b w:val="0"/>
              </w:rPr>
              <w:t>p</w:t>
            </w:r>
            <w:r w:rsidR="00043D25">
              <w:rPr>
                <w:b w:val="0"/>
              </w:rPr>
              <w:t>rincipal risks associated with towing, and how these are addressed, including the actions to take in an emergency</w:t>
            </w:r>
          </w:p>
          <w:p w:rsidR="00043D25" w:rsidRPr="001B0A7B" w:rsidRDefault="000B16E5" w:rsidP="00043D25">
            <w:pPr>
              <w:pStyle w:val="NOSBodyHeading"/>
              <w:numPr>
                <w:ilvl w:val="0"/>
                <w:numId w:val="18"/>
              </w:numPr>
              <w:spacing w:line="276" w:lineRule="auto"/>
              <w:rPr>
                <w:b w:val="0"/>
              </w:rPr>
            </w:pPr>
            <w:r>
              <w:rPr>
                <w:b w:val="0"/>
              </w:rPr>
              <w:t>s</w:t>
            </w:r>
            <w:r w:rsidR="00043D25">
              <w:rPr>
                <w:b w:val="0"/>
              </w:rPr>
              <w:t>afety procedures relating to crew operations when working with lines on deck</w:t>
            </w:r>
          </w:p>
          <w:p w:rsidR="00043D25" w:rsidRPr="001B0A7B" w:rsidRDefault="000B16E5" w:rsidP="00043D25">
            <w:pPr>
              <w:pStyle w:val="NOSBodyHeading"/>
              <w:numPr>
                <w:ilvl w:val="0"/>
                <w:numId w:val="18"/>
              </w:numPr>
              <w:spacing w:line="276" w:lineRule="auto"/>
              <w:rPr>
                <w:b w:val="0"/>
              </w:rPr>
            </w:pPr>
            <w:r>
              <w:rPr>
                <w:b w:val="0"/>
              </w:rPr>
              <w:t>c</w:t>
            </w:r>
            <w:r w:rsidR="00043D25">
              <w:rPr>
                <w:b w:val="0"/>
              </w:rPr>
              <w:t>ircumstances where it is beneficial to transfer a crew member to the vessel to be towed, and how to do this safely</w:t>
            </w:r>
          </w:p>
          <w:p w:rsidR="00043D25" w:rsidRPr="001B0A7B" w:rsidRDefault="000B16E5" w:rsidP="00043D25">
            <w:pPr>
              <w:pStyle w:val="NOSBodyHeading"/>
              <w:numPr>
                <w:ilvl w:val="0"/>
                <w:numId w:val="18"/>
              </w:numPr>
              <w:spacing w:line="276" w:lineRule="auto"/>
              <w:rPr>
                <w:b w:val="0"/>
              </w:rPr>
            </w:pPr>
            <w:r>
              <w:rPr>
                <w:b w:val="0"/>
              </w:rPr>
              <w:t>s</w:t>
            </w:r>
            <w:r w:rsidR="00043D25">
              <w:rPr>
                <w:b w:val="0"/>
              </w:rPr>
              <w:t>ecuring arrangements, including where and how to secure the towing equipment to your vessel and the vessel to be towed, and how different conditions affect the securing operation</w:t>
            </w:r>
          </w:p>
          <w:p w:rsidR="00043D25" w:rsidRPr="001B0A7B" w:rsidRDefault="000B16E5" w:rsidP="00043D25">
            <w:pPr>
              <w:pStyle w:val="NOSBodyHeading"/>
              <w:numPr>
                <w:ilvl w:val="0"/>
                <w:numId w:val="18"/>
              </w:numPr>
              <w:spacing w:line="276" w:lineRule="auto"/>
              <w:rPr>
                <w:b w:val="0"/>
              </w:rPr>
            </w:pPr>
            <w:r>
              <w:rPr>
                <w:b w:val="0"/>
              </w:rPr>
              <w:t>t</w:t>
            </w:r>
            <w:r w:rsidR="00043D25">
              <w:rPr>
                <w:b w:val="0"/>
              </w:rPr>
              <w:t>he importance of checking the towing equipment for chafe and damage, the causes of chafe and how to minimise its affect</w:t>
            </w:r>
          </w:p>
          <w:p w:rsidR="00043D25" w:rsidRPr="001B0A7B" w:rsidRDefault="000B16E5" w:rsidP="00043D25">
            <w:pPr>
              <w:pStyle w:val="NOSBodyHeading"/>
              <w:numPr>
                <w:ilvl w:val="0"/>
                <w:numId w:val="18"/>
              </w:numPr>
              <w:spacing w:line="276" w:lineRule="auto"/>
              <w:rPr>
                <w:b w:val="0"/>
              </w:rPr>
            </w:pPr>
            <w:r>
              <w:rPr>
                <w:b w:val="0"/>
              </w:rPr>
              <w:t>t</w:t>
            </w:r>
            <w:r w:rsidR="00043D25">
              <w:rPr>
                <w:b w:val="0"/>
              </w:rPr>
              <w:t>echniques for throwing a heaving line/bolas, and the safety precautions to be taken when passing a line</w:t>
            </w:r>
          </w:p>
          <w:p w:rsidR="00043D25" w:rsidRPr="001B0A7B" w:rsidRDefault="000B16E5" w:rsidP="00043D25">
            <w:pPr>
              <w:pStyle w:val="NOSBodyHeading"/>
              <w:numPr>
                <w:ilvl w:val="0"/>
                <w:numId w:val="18"/>
              </w:numPr>
              <w:spacing w:line="276" w:lineRule="auto"/>
              <w:rPr>
                <w:b w:val="0"/>
              </w:rPr>
            </w:pPr>
            <w:r>
              <w:rPr>
                <w:b w:val="0"/>
              </w:rPr>
              <w:t>t</w:t>
            </w:r>
            <w:r w:rsidR="00043D25">
              <w:rPr>
                <w:b w:val="0"/>
              </w:rPr>
              <w:t>he precautions to be taken to avoid damage to either vessel</w:t>
            </w:r>
          </w:p>
          <w:p w:rsidR="00006091" w:rsidRPr="001B0A7B" w:rsidRDefault="000B16E5" w:rsidP="00043D25">
            <w:pPr>
              <w:pStyle w:val="NOSBodyHeading"/>
              <w:numPr>
                <w:ilvl w:val="0"/>
                <w:numId w:val="18"/>
              </w:numPr>
              <w:spacing w:line="276" w:lineRule="auto"/>
              <w:rPr>
                <w:b w:val="0"/>
              </w:rPr>
            </w:pPr>
            <w:r>
              <w:rPr>
                <w:b w:val="0"/>
              </w:rPr>
              <w:t>t</w:t>
            </w:r>
            <w:r w:rsidR="00043D25">
              <w:rPr>
                <w:b w:val="0"/>
              </w:rPr>
              <w:t>he process of disengaging the tow in both normal  and  emergency conditions</w:t>
            </w:r>
          </w:p>
        </w:tc>
      </w:tr>
    </w:tbl>
    <w:p w:rsidR="0052780A" w:rsidRDefault="0052780A">
      <w:bookmarkStart w:id="8" w:name="EndKnowledge"/>
      <w:bookmarkEnd w:id="6"/>
      <w:bookmarkEnd w:id="8"/>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52780A" w:rsidRDefault="000B16E5" w:rsidP="001F6BF7">
            <w:pPr>
              <w:pStyle w:val="NOSBodyText"/>
            </w:pPr>
            <w:bookmarkStart w:id="9" w:name="StartDevelopedBy"/>
            <w:bookmarkEnd w:id="9"/>
            <w:r>
              <w:t>Maritime Skills Alliance</w:t>
            </w:r>
          </w:p>
          <w:p w:rsidR="001F6BF7" w:rsidRPr="00CF4D98" w:rsidRDefault="001F6BF7" w:rsidP="001F6BF7">
            <w:pPr>
              <w:pStyle w:val="NOSBodyText"/>
            </w:pPr>
            <w:bookmarkStart w:id="10" w:name="EndDevelopedBy"/>
            <w:bookmarkEnd w:id="10"/>
          </w:p>
        </w:tc>
      </w:tr>
      <w:tr w:rsidR="0052780A" w:rsidRPr="00CF4D98" w:rsidTr="00690067">
        <w:tc>
          <w:tcPr>
            <w:tcW w:w="2518" w:type="dxa"/>
          </w:tcPr>
          <w:p w:rsidR="0052780A" w:rsidRPr="004E05F7" w:rsidRDefault="00BE051E"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0B16E5" w:rsidP="001F6BF7">
            <w:pPr>
              <w:pStyle w:val="NOSBodyText"/>
              <w:rPr>
                <w:color w:val="221E1F"/>
              </w:rPr>
            </w:pPr>
            <w:bookmarkStart w:id="11" w:name="StartVersion"/>
            <w:bookmarkEnd w:id="11"/>
            <w:r>
              <w:rPr>
                <w:color w:val="221E1F"/>
              </w:rPr>
              <w:t>2</w:t>
            </w:r>
          </w:p>
          <w:p w:rsidR="001F6BF7" w:rsidRPr="004E05F7" w:rsidRDefault="001F6BF7" w:rsidP="001F6BF7">
            <w:pPr>
              <w:pStyle w:val="NOSBodyText"/>
              <w:rPr>
                <w:color w:val="221E1F"/>
              </w:rPr>
            </w:pPr>
            <w:bookmarkStart w:id="12" w:name="EndVersion"/>
            <w:bookmarkEnd w:id="12"/>
          </w:p>
        </w:tc>
      </w:tr>
      <w:tr w:rsidR="0052780A" w:rsidRPr="00CF4D98" w:rsidTr="00690067">
        <w:tc>
          <w:tcPr>
            <w:tcW w:w="2518" w:type="dxa"/>
          </w:tcPr>
          <w:p w:rsidR="0052780A" w:rsidRPr="004E05F7" w:rsidRDefault="00BE051E"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52780A" w:rsidRDefault="00F86228" w:rsidP="001F6BF7">
            <w:pPr>
              <w:pStyle w:val="NOSBodyText"/>
              <w:rPr>
                <w:color w:val="221E1F"/>
              </w:rPr>
            </w:pPr>
            <w:bookmarkStart w:id="13" w:name="StartApproved"/>
            <w:bookmarkEnd w:id="13"/>
            <w:r>
              <w:rPr>
                <w:color w:val="221E1F"/>
              </w:rPr>
              <w:t>January 2012</w:t>
            </w:r>
          </w:p>
          <w:p w:rsidR="001F6BF7" w:rsidRPr="004E05F7" w:rsidRDefault="001F6BF7" w:rsidP="001F6BF7">
            <w:pPr>
              <w:pStyle w:val="NOSBodyText"/>
              <w:rPr>
                <w:color w:val="221E1F"/>
              </w:rPr>
            </w:pPr>
            <w:bookmarkStart w:id="14" w:name="EndApproved"/>
            <w:bookmarkEnd w:id="14"/>
          </w:p>
        </w:tc>
      </w:tr>
      <w:tr w:rsidR="0052780A" w:rsidRPr="00CF4D98" w:rsidTr="00690067">
        <w:tc>
          <w:tcPr>
            <w:tcW w:w="2518" w:type="dxa"/>
          </w:tcPr>
          <w:p w:rsidR="0052780A" w:rsidRDefault="00BE051E"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F86228" w:rsidP="00690067">
            <w:pPr>
              <w:pStyle w:val="NOSBodyText"/>
              <w:rPr>
                <w:rStyle w:val="A3"/>
              </w:rPr>
            </w:pPr>
            <w:bookmarkStart w:id="15" w:name="StartReview"/>
            <w:bookmarkEnd w:id="15"/>
            <w:proofErr w:type="spellStart"/>
            <w:r>
              <w:rPr>
                <w:rStyle w:val="A3"/>
              </w:rPr>
              <w:t>Decemebr</w:t>
            </w:r>
            <w:proofErr w:type="spellEnd"/>
            <w:r>
              <w:rPr>
                <w:rStyle w:val="A3"/>
              </w:rPr>
              <w:t xml:space="preserve"> 2016</w:t>
            </w:r>
          </w:p>
          <w:p w:rsidR="001F6BF7" w:rsidRPr="004E05F7" w:rsidRDefault="001F6BF7" w:rsidP="00690067">
            <w:pPr>
              <w:pStyle w:val="NOSBodyText"/>
              <w:rPr>
                <w:color w:val="221E1F"/>
              </w:rPr>
            </w:pPr>
            <w:bookmarkStart w:id="16" w:name="EndReview"/>
            <w:bookmarkEnd w:id="16"/>
          </w:p>
        </w:tc>
      </w:tr>
      <w:tr w:rsidR="0052780A" w:rsidRPr="00CF4D98" w:rsidTr="00690067">
        <w:tc>
          <w:tcPr>
            <w:tcW w:w="2518" w:type="dxa"/>
          </w:tcPr>
          <w:p w:rsidR="0052780A" w:rsidRPr="004E05F7" w:rsidRDefault="00BE051E"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065FA6" w:rsidP="00690067">
            <w:pPr>
              <w:pStyle w:val="NOSBodyText"/>
              <w:rPr>
                <w:rStyle w:val="A3"/>
              </w:rPr>
            </w:pPr>
            <w:bookmarkStart w:id="17" w:name="StartValidity"/>
            <w:bookmarkEnd w:id="17"/>
            <w:r>
              <w:rPr>
                <w:rStyle w:val="A3"/>
              </w:rPr>
              <w:t>Current</w:t>
            </w:r>
          </w:p>
          <w:p w:rsidR="0052780A" w:rsidRPr="004E05F7" w:rsidRDefault="0052780A" w:rsidP="00690067">
            <w:pPr>
              <w:pStyle w:val="NOSBodyText"/>
              <w:rPr>
                <w:color w:val="221E1F"/>
              </w:rPr>
            </w:pPr>
            <w:bookmarkStart w:id="18" w:name="EndValidity"/>
            <w:bookmarkEnd w:id="18"/>
          </w:p>
        </w:tc>
      </w:tr>
      <w:tr w:rsidR="0052780A" w:rsidRPr="00CF4D98" w:rsidTr="00690067">
        <w:tc>
          <w:tcPr>
            <w:tcW w:w="2518" w:type="dxa"/>
          </w:tcPr>
          <w:p w:rsidR="0052780A" w:rsidRPr="004E05F7" w:rsidRDefault="00BE051E"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065FA6" w:rsidP="001F6BF7">
            <w:pPr>
              <w:pStyle w:val="NOSBodyText"/>
              <w:rPr>
                <w:color w:val="221E1F"/>
              </w:rPr>
            </w:pPr>
            <w:bookmarkStart w:id="19" w:name="StartStatus"/>
            <w:bookmarkEnd w:id="19"/>
            <w:r>
              <w:rPr>
                <w:color w:val="221E1F"/>
              </w:rPr>
              <w:t>Original</w:t>
            </w:r>
          </w:p>
          <w:p w:rsidR="001F6BF7" w:rsidRPr="004E05F7" w:rsidRDefault="001F6BF7" w:rsidP="001F6BF7">
            <w:pPr>
              <w:pStyle w:val="NOSBodyText"/>
              <w:rPr>
                <w:color w:val="221E1F"/>
              </w:rPr>
            </w:pPr>
            <w:bookmarkStart w:id="20" w:name="EndStatus"/>
            <w:bookmarkEnd w:id="20"/>
          </w:p>
        </w:tc>
      </w:tr>
      <w:tr w:rsidR="0052780A" w:rsidRPr="00CF4D98" w:rsidTr="00690067">
        <w:tc>
          <w:tcPr>
            <w:tcW w:w="2518" w:type="dxa"/>
          </w:tcPr>
          <w:p w:rsidR="0052780A" w:rsidRDefault="00BE051E"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0B16E5" w:rsidP="001F6BF7">
            <w:pPr>
              <w:pStyle w:val="NOSBodyText"/>
              <w:rPr>
                <w:color w:val="221E1F"/>
              </w:rPr>
            </w:pPr>
            <w:bookmarkStart w:id="21" w:name="StartOrigin"/>
            <w:bookmarkEnd w:id="21"/>
            <w:r>
              <w:rPr>
                <w:color w:val="221E1F"/>
              </w:rPr>
              <w:t>Skills for Justice</w:t>
            </w:r>
          </w:p>
          <w:p w:rsidR="005E6FAE" w:rsidRPr="004E05F7" w:rsidRDefault="005E6FAE" w:rsidP="001F6BF7">
            <w:pPr>
              <w:pStyle w:val="NOSBodyText"/>
              <w:rPr>
                <w:color w:val="221E1F"/>
              </w:rPr>
            </w:pPr>
            <w:bookmarkStart w:id="22" w:name="EndOrigin"/>
            <w:bookmarkEnd w:id="22"/>
          </w:p>
        </w:tc>
      </w:tr>
      <w:tr w:rsidR="0052780A" w:rsidRPr="00CF4D98" w:rsidTr="00690067">
        <w:tc>
          <w:tcPr>
            <w:tcW w:w="2518" w:type="dxa"/>
          </w:tcPr>
          <w:p w:rsidR="0052780A" w:rsidRPr="004E05F7" w:rsidRDefault="00BE051E"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52780A" w:rsidRDefault="00F86228" w:rsidP="001F6BF7">
            <w:pPr>
              <w:pStyle w:val="NOSBodyText"/>
              <w:rPr>
                <w:color w:val="221E1F"/>
              </w:rPr>
            </w:pPr>
            <w:bookmarkStart w:id="23" w:name="StartOriginURN"/>
            <w:bookmarkEnd w:id="23"/>
            <w:r>
              <w:rPr>
                <w:color w:val="221E1F"/>
              </w:rPr>
              <w:t>MSA E03</w:t>
            </w:r>
          </w:p>
          <w:p w:rsidR="001F6BF7" w:rsidRPr="004E05F7" w:rsidRDefault="001F6BF7" w:rsidP="001F6BF7">
            <w:pPr>
              <w:pStyle w:val="NOSBodyText"/>
              <w:rPr>
                <w:color w:val="221E1F"/>
              </w:rPr>
            </w:pPr>
            <w:bookmarkStart w:id="24" w:name="EndOriginURN"/>
            <w:bookmarkEnd w:id="24"/>
          </w:p>
        </w:tc>
      </w:tr>
      <w:tr w:rsidR="0052780A" w:rsidRPr="00CF4D98" w:rsidTr="00690067">
        <w:tc>
          <w:tcPr>
            <w:tcW w:w="2518" w:type="dxa"/>
          </w:tcPr>
          <w:p w:rsidR="0052780A" w:rsidRDefault="00BE051E"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294213" w:rsidP="001F6BF7">
            <w:pPr>
              <w:pStyle w:val="NOSBodyText"/>
              <w:rPr>
                <w:color w:val="221E1F"/>
              </w:rPr>
            </w:pPr>
            <w:bookmarkStart w:id="25" w:name="StartOccupations"/>
            <w:bookmarkEnd w:id="25"/>
            <w:r>
              <w:rPr>
                <w:color w:val="221E1F"/>
              </w:rPr>
              <w:t>Able seaman</w:t>
            </w:r>
          </w:p>
          <w:p w:rsidR="008A2610" w:rsidRPr="004E05F7" w:rsidRDefault="008A2610" w:rsidP="001F6BF7">
            <w:pPr>
              <w:pStyle w:val="NOSBodyText"/>
              <w:rPr>
                <w:color w:val="221E1F"/>
              </w:rPr>
            </w:pPr>
            <w:bookmarkStart w:id="26" w:name="EndOccupations"/>
            <w:bookmarkEnd w:id="26"/>
          </w:p>
        </w:tc>
      </w:tr>
      <w:tr w:rsidR="0052780A" w:rsidRPr="00CF4D98" w:rsidTr="00690067">
        <w:tc>
          <w:tcPr>
            <w:tcW w:w="2518" w:type="dxa"/>
          </w:tcPr>
          <w:p w:rsidR="0052780A" w:rsidRPr="004E05F7" w:rsidRDefault="00BE051E"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D10498" w:rsidP="001F6BF7">
            <w:pPr>
              <w:pStyle w:val="NOSBodyText"/>
              <w:rPr>
                <w:color w:val="221E1F"/>
              </w:rPr>
            </w:pPr>
            <w:bookmarkStart w:id="27" w:name="StartSuite"/>
            <w:bookmarkEnd w:id="27"/>
            <w:r>
              <w:rPr>
                <w:color w:val="221E1F"/>
              </w:rPr>
              <w:t>Maritime</w:t>
            </w:r>
          </w:p>
          <w:p w:rsidR="001F6BF7" w:rsidRPr="004E05F7" w:rsidRDefault="001F6BF7" w:rsidP="001F6BF7">
            <w:pPr>
              <w:pStyle w:val="NOSBodyText"/>
              <w:rPr>
                <w:color w:val="221E1F"/>
              </w:rPr>
            </w:pPr>
            <w:bookmarkStart w:id="28" w:name="EndSuite"/>
            <w:bookmarkEnd w:id="28"/>
          </w:p>
        </w:tc>
      </w:tr>
      <w:tr w:rsidR="0052780A" w:rsidRPr="00CF4D98" w:rsidTr="00690067">
        <w:tc>
          <w:tcPr>
            <w:tcW w:w="2518" w:type="dxa"/>
          </w:tcPr>
          <w:p w:rsidR="0052780A" w:rsidRPr="004E05F7" w:rsidRDefault="00BE051E"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52780A" w:rsidRDefault="00065FA6" w:rsidP="00690067">
            <w:pPr>
              <w:pStyle w:val="NOSBodyText"/>
              <w:rPr>
                <w:color w:val="221E1F"/>
              </w:rPr>
            </w:pPr>
            <w:bookmarkStart w:id="29" w:name="StartKeywords"/>
            <w:bookmarkEnd w:id="29"/>
            <w:r>
              <w:rPr>
                <w:color w:val="221E1F"/>
              </w:rPr>
              <w:t>vessel, tow, port, inland, coastal, water</w:t>
            </w:r>
          </w:p>
          <w:p w:rsidR="0052780A" w:rsidRPr="004E05F7" w:rsidRDefault="0052780A" w:rsidP="00690067">
            <w:pPr>
              <w:pStyle w:val="NOSBodyText"/>
              <w:rPr>
                <w:color w:val="221E1F"/>
              </w:rPr>
            </w:pPr>
            <w:bookmarkStart w:id="30" w:name="EndKeywords"/>
            <w:bookmarkEnd w:id="30"/>
          </w:p>
        </w:tc>
      </w:tr>
    </w:tbl>
    <w:p w:rsidR="0052780A" w:rsidRDefault="0052780A" w:rsidP="0052780A"/>
    <w:sectPr w:rsidR="0052780A"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9E7" w:rsidRDefault="009759E7" w:rsidP="00521BFC">
      <w:r>
        <w:separator/>
      </w:r>
    </w:p>
  </w:endnote>
  <w:endnote w:type="continuationSeparator" w:id="0">
    <w:p w:rsidR="009759E7" w:rsidRDefault="009759E7"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D13FFB" w:rsidRDefault="00F86228" w:rsidP="009F7CB5">
    <w:pPr>
      <w:pStyle w:val="Footer"/>
      <w:tabs>
        <w:tab w:val="left" w:pos="1200"/>
        <w:tab w:val="right" w:pos="10206"/>
      </w:tabs>
      <w:rPr>
        <w:sz w:val="18"/>
        <w:szCs w:val="18"/>
      </w:rPr>
    </w:pPr>
    <w:r w:rsidRPr="00F86228">
      <w:rPr>
        <w:rFonts w:ascii="Arial" w:eastAsiaTheme="minorHAnsi" w:hAnsi="Arial" w:cs="Arial"/>
        <w:noProof/>
        <w:sz w:val="14"/>
        <w:szCs w:val="14"/>
      </w:rPr>
      <w:t>MSA E03</w:t>
    </w:r>
    <w:r>
      <w:rPr>
        <w:rFonts w:ascii="Arial" w:eastAsiaTheme="minorHAnsi" w:hAnsi="Arial" w:cs="Arial"/>
        <w:noProof/>
        <w:sz w:val="14"/>
        <w:szCs w:val="14"/>
      </w:rPr>
      <w:t xml:space="preserve"> </w:t>
    </w:r>
    <w:r w:rsidRPr="00F86228">
      <w:rPr>
        <w:rFonts w:ascii="Arial" w:eastAsiaTheme="minorHAnsi" w:hAnsi="Arial" w:cs="Arial"/>
        <w:noProof/>
        <w:sz w:val="14"/>
        <w:szCs w:val="14"/>
      </w:rPr>
      <w:t>Tow vessels</w:t>
    </w:r>
    <w:r w:rsidR="009F7CB5">
      <w:rPr>
        <w:sz w:val="18"/>
        <w:szCs w:val="18"/>
      </w:rPr>
      <w:tab/>
    </w:r>
    <w:r w:rsidR="009F7CB5">
      <w:rPr>
        <w:sz w:val="18"/>
        <w:szCs w:val="18"/>
      </w:rPr>
      <w:tab/>
    </w:r>
    <w:r w:rsidR="009F7CB5">
      <w:rPr>
        <w:sz w:val="18"/>
        <w:szCs w:val="18"/>
      </w:rPr>
      <w:tab/>
    </w:r>
    <w:r w:rsidR="00BE051E" w:rsidRPr="008C0064">
      <w:rPr>
        <w:rFonts w:ascii="Arial" w:hAnsi="Arial" w:cs="Arial"/>
        <w:sz w:val="14"/>
        <w:szCs w:val="14"/>
      </w:rPr>
      <w:fldChar w:fldCharType="begin"/>
    </w:r>
    <w:r w:rsidR="00016B9A" w:rsidRPr="008C0064">
      <w:rPr>
        <w:rFonts w:ascii="Arial" w:hAnsi="Arial" w:cs="Arial"/>
        <w:sz w:val="14"/>
        <w:szCs w:val="14"/>
      </w:rPr>
      <w:instrText xml:space="preserve"> PAGE   \* MERGEFORMAT </w:instrText>
    </w:r>
    <w:r w:rsidR="00BE051E" w:rsidRPr="008C0064">
      <w:rPr>
        <w:rFonts w:ascii="Arial" w:hAnsi="Arial" w:cs="Arial"/>
        <w:sz w:val="14"/>
        <w:szCs w:val="14"/>
      </w:rPr>
      <w:fldChar w:fldCharType="separate"/>
    </w:r>
    <w:r w:rsidR="00C9620D">
      <w:rPr>
        <w:rFonts w:ascii="Arial" w:hAnsi="Arial" w:cs="Arial"/>
        <w:noProof/>
        <w:sz w:val="14"/>
        <w:szCs w:val="14"/>
      </w:rPr>
      <w:t>4</w:t>
    </w:r>
    <w:r w:rsidR="00BE051E"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86259F" w:rsidRDefault="00F86228" w:rsidP="0086259F">
    <w:pPr>
      <w:pStyle w:val="Footer"/>
      <w:tabs>
        <w:tab w:val="left" w:pos="1200"/>
        <w:tab w:val="right" w:pos="10206"/>
      </w:tabs>
      <w:rPr>
        <w:sz w:val="18"/>
        <w:szCs w:val="18"/>
      </w:rPr>
    </w:pPr>
    <w:r w:rsidRPr="00F86228">
      <w:rPr>
        <w:rFonts w:ascii="Arial" w:eastAsiaTheme="minorHAnsi" w:hAnsi="Arial" w:cs="Arial"/>
        <w:noProof/>
        <w:sz w:val="14"/>
        <w:szCs w:val="14"/>
      </w:rPr>
      <w:t>MSA E03</w:t>
    </w:r>
    <w:r>
      <w:rPr>
        <w:rFonts w:ascii="Arial" w:eastAsiaTheme="minorHAnsi" w:hAnsi="Arial" w:cs="Arial"/>
        <w:noProof/>
        <w:sz w:val="14"/>
        <w:szCs w:val="14"/>
      </w:rPr>
      <w:t xml:space="preserve"> </w:t>
    </w:r>
    <w:r w:rsidRPr="00F86228">
      <w:rPr>
        <w:rFonts w:ascii="Arial" w:eastAsiaTheme="minorHAnsi" w:hAnsi="Arial" w:cs="Arial"/>
        <w:noProof/>
        <w:sz w:val="14"/>
        <w:szCs w:val="14"/>
      </w:rPr>
      <w:t>Tow vessels</w:t>
    </w:r>
    <w:r w:rsidR="004323FE">
      <w:rPr>
        <w:sz w:val="18"/>
        <w:szCs w:val="18"/>
      </w:rPr>
      <w:tab/>
    </w:r>
    <w:r w:rsidR="004323FE">
      <w:rPr>
        <w:sz w:val="18"/>
        <w:szCs w:val="18"/>
      </w:rPr>
      <w:tab/>
    </w:r>
    <w:r w:rsidR="004323FE">
      <w:rPr>
        <w:sz w:val="18"/>
        <w:szCs w:val="18"/>
      </w:rPr>
      <w:tab/>
    </w:r>
    <w:r w:rsidR="00BE051E" w:rsidRPr="008C0064">
      <w:rPr>
        <w:rFonts w:ascii="Arial" w:hAnsi="Arial" w:cs="Arial"/>
        <w:sz w:val="14"/>
        <w:szCs w:val="14"/>
      </w:rPr>
      <w:fldChar w:fldCharType="begin"/>
    </w:r>
    <w:r w:rsidR="0086259F" w:rsidRPr="008C0064">
      <w:rPr>
        <w:rFonts w:ascii="Arial" w:hAnsi="Arial" w:cs="Arial"/>
        <w:sz w:val="14"/>
        <w:szCs w:val="14"/>
      </w:rPr>
      <w:instrText xml:space="preserve"> PAGE   \* MERGEFORMAT </w:instrText>
    </w:r>
    <w:r w:rsidR="00BE051E" w:rsidRPr="008C0064">
      <w:rPr>
        <w:rFonts w:ascii="Arial" w:hAnsi="Arial" w:cs="Arial"/>
        <w:sz w:val="14"/>
        <w:szCs w:val="14"/>
      </w:rPr>
      <w:fldChar w:fldCharType="separate"/>
    </w:r>
    <w:r w:rsidR="00C9620D">
      <w:rPr>
        <w:rFonts w:ascii="Arial" w:hAnsi="Arial" w:cs="Arial"/>
        <w:noProof/>
        <w:sz w:val="14"/>
        <w:szCs w:val="14"/>
      </w:rPr>
      <w:t>1</w:t>
    </w:r>
    <w:r w:rsidR="00BE051E"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9E7" w:rsidRDefault="009759E7" w:rsidP="00521BFC">
      <w:r>
        <w:separator/>
      </w:r>
    </w:p>
  </w:footnote>
  <w:footnote w:type="continuationSeparator" w:id="0">
    <w:p w:rsidR="009759E7" w:rsidRDefault="009759E7"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3C6D88" w:rsidRDefault="00BE051E" w:rsidP="002063F2">
    <w:pPr>
      <w:tabs>
        <w:tab w:val="left" w:pos="7140"/>
      </w:tabs>
    </w:pPr>
    <w:r w:rsidRPr="00BE051E">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3F3791">
      <w:rPr>
        <w:rFonts w:ascii="Arial" w:eastAsiaTheme="minorHAnsi" w:hAnsi="Arial" w:cs="Arial"/>
        <w:b/>
        <w:noProof/>
        <w:sz w:val="32"/>
        <w:szCs w:val="32"/>
      </w:rPr>
      <w:t xml:space="preserve">MSA </w:t>
    </w:r>
    <w:r w:rsidR="00AD670B">
      <w:rPr>
        <w:rFonts w:ascii="Arial" w:eastAsiaTheme="minorHAnsi" w:hAnsi="Arial" w:cs="Arial"/>
        <w:b/>
        <w:noProof/>
        <w:sz w:val="32"/>
        <w:szCs w:val="32"/>
      </w:rPr>
      <w:t>E03</w:t>
    </w:r>
    <w:r w:rsidR="002063F2" w:rsidRPr="003C6D88">
      <w:rPr>
        <w:rFonts w:eastAsiaTheme="minorHAnsi" w:cs="Courier New"/>
        <w:noProof/>
        <w:sz w:val="32"/>
        <w:szCs w:val="32"/>
      </w:rPr>
      <w:br/>
    </w:r>
    <w:r w:rsidR="006D49DF">
      <w:rPr>
        <w:rFonts w:ascii="Arial" w:eastAsiaTheme="minorHAnsi" w:hAnsi="Arial" w:cs="Arial"/>
        <w:noProof/>
        <w:sz w:val="32"/>
        <w:szCs w:val="32"/>
      </w:rPr>
      <w:t>Tow vessels</w:t>
    </w:r>
    <w:r w:rsidR="00964343">
      <w:rPr>
        <w:rFonts w:eastAsiaTheme="minorHAnsi" w:cs="Courier New"/>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9A1F82" w:rsidTr="009A1F82">
      <w:trPr>
        <w:cantSplit/>
        <w:trHeight w:val="1065"/>
      </w:trPr>
      <w:tc>
        <w:tcPr>
          <w:tcW w:w="7616" w:type="dxa"/>
        </w:tcPr>
        <w:p w:rsidR="009A1F82" w:rsidRPr="00DF70EE" w:rsidRDefault="003F3791" w:rsidP="009A1F82">
          <w:pPr>
            <w:pStyle w:val="Header"/>
            <w:rPr>
              <w:rFonts w:ascii="Arial" w:hAnsi="Arial" w:cs="Arial"/>
              <w:b/>
              <w:sz w:val="32"/>
              <w:szCs w:val="32"/>
            </w:rPr>
          </w:pPr>
          <w:r>
            <w:rPr>
              <w:rFonts w:ascii="Arial" w:hAnsi="Arial" w:cs="Arial"/>
              <w:b/>
              <w:sz w:val="32"/>
              <w:szCs w:val="32"/>
            </w:rPr>
            <w:t xml:space="preserve">MSA </w:t>
          </w:r>
          <w:r w:rsidR="00AD670B">
            <w:rPr>
              <w:rFonts w:ascii="Arial" w:hAnsi="Arial" w:cs="Arial"/>
              <w:b/>
              <w:sz w:val="32"/>
              <w:szCs w:val="32"/>
            </w:rPr>
            <w:t>E03</w:t>
          </w:r>
        </w:p>
        <w:p w:rsidR="009A1F82" w:rsidRPr="00DF70EE" w:rsidRDefault="006D49DF" w:rsidP="009A1F82">
          <w:pPr>
            <w:pStyle w:val="Header"/>
            <w:rPr>
              <w:rFonts w:ascii="Arial" w:hAnsi="Arial" w:cs="Arial"/>
            </w:rPr>
          </w:pPr>
          <w:r>
            <w:rPr>
              <w:rFonts w:ascii="Arial" w:hAnsi="Arial" w:cs="Arial"/>
              <w:sz w:val="32"/>
              <w:szCs w:val="32"/>
            </w:rPr>
            <w:t>Tow vessels</w:t>
          </w:r>
        </w:p>
      </w:tc>
      <w:tc>
        <w:tcPr>
          <w:tcW w:w="2616" w:type="dxa"/>
        </w:tcPr>
        <w:p w:rsidR="009A1F82" w:rsidRDefault="009A1F8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016B9A" w:rsidRPr="009A1F82" w:rsidRDefault="00BE051E"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
    <w:nsid w:val="11CC7157"/>
    <w:multiLevelType w:val="multilevel"/>
    <w:tmpl w:val="DE32D7D8"/>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2">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B13193F"/>
    <w:multiLevelType w:val="multilevel"/>
    <w:tmpl w:val="44BAF482"/>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71047F63"/>
    <w:multiLevelType w:val="multilevel"/>
    <w:tmpl w:val="64A223A6"/>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8"/>
  </w:num>
  <w:num w:numId="3">
    <w:abstractNumId w:val="3"/>
  </w:num>
  <w:num w:numId="4">
    <w:abstractNumId w:val="1"/>
  </w:num>
  <w:num w:numId="5">
    <w:abstractNumId w:val="11"/>
  </w:num>
  <w:num w:numId="6">
    <w:abstractNumId w:val="13"/>
  </w:num>
  <w:num w:numId="7">
    <w:abstractNumId w:val="5"/>
  </w:num>
  <w:num w:numId="8">
    <w:abstractNumId w:val="17"/>
  </w:num>
  <w:num w:numId="9">
    <w:abstractNumId w:val="16"/>
  </w:num>
  <w:num w:numId="10">
    <w:abstractNumId w:val="12"/>
  </w:num>
  <w:num w:numId="11">
    <w:abstractNumId w:val="10"/>
  </w:num>
  <w:num w:numId="12">
    <w:abstractNumId w:val="7"/>
  </w:num>
  <w:num w:numId="13">
    <w:abstractNumId w:val="4"/>
  </w:num>
  <w:num w:numId="14">
    <w:abstractNumId w:val="9"/>
  </w:num>
  <w:num w:numId="15">
    <w:abstractNumId w:val="0"/>
  </w:num>
  <w:num w:numId="16">
    <w:abstractNumId w:val="2"/>
  </w:num>
  <w:num w:numId="17">
    <w:abstractNumId w:val="14"/>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4E0E"/>
    <w:rsid w:val="00006091"/>
    <w:rsid w:val="000063C8"/>
    <w:rsid w:val="000074FB"/>
    <w:rsid w:val="000076D9"/>
    <w:rsid w:val="00013E41"/>
    <w:rsid w:val="0001420A"/>
    <w:rsid w:val="00015A73"/>
    <w:rsid w:val="00016B9A"/>
    <w:rsid w:val="0002195A"/>
    <w:rsid w:val="00035310"/>
    <w:rsid w:val="0003593E"/>
    <w:rsid w:val="00037C5B"/>
    <w:rsid w:val="00043D25"/>
    <w:rsid w:val="0004792D"/>
    <w:rsid w:val="00051B82"/>
    <w:rsid w:val="000556CF"/>
    <w:rsid w:val="00057210"/>
    <w:rsid w:val="00064310"/>
    <w:rsid w:val="00065FA6"/>
    <w:rsid w:val="00066CD2"/>
    <w:rsid w:val="00074FC4"/>
    <w:rsid w:val="00077B79"/>
    <w:rsid w:val="00084043"/>
    <w:rsid w:val="00085418"/>
    <w:rsid w:val="000867C6"/>
    <w:rsid w:val="00090C19"/>
    <w:rsid w:val="00093E71"/>
    <w:rsid w:val="00096244"/>
    <w:rsid w:val="00096378"/>
    <w:rsid w:val="00096D9C"/>
    <w:rsid w:val="000A2920"/>
    <w:rsid w:val="000A3533"/>
    <w:rsid w:val="000A5804"/>
    <w:rsid w:val="000B16E5"/>
    <w:rsid w:val="000B1EFD"/>
    <w:rsid w:val="000B6D40"/>
    <w:rsid w:val="000D38DB"/>
    <w:rsid w:val="000E0A1D"/>
    <w:rsid w:val="000E1A7E"/>
    <w:rsid w:val="000F091B"/>
    <w:rsid w:val="0010370F"/>
    <w:rsid w:val="0010479B"/>
    <w:rsid w:val="001103C6"/>
    <w:rsid w:val="00115544"/>
    <w:rsid w:val="001251D3"/>
    <w:rsid w:val="0013639C"/>
    <w:rsid w:val="0016238F"/>
    <w:rsid w:val="001634E2"/>
    <w:rsid w:val="00173AEB"/>
    <w:rsid w:val="00176E82"/>
    <w:rsid w:val="00181052"/>
    <w:rsid w:val="00185673"/>
    <w:rsid w:val="00186CC0"/>
    <w:rsid w:val="00194432"/>
    <w:rsid w:val="001A306E"/>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BF7"/>
    <w:rsid w:val="002063F2"/>
    <w:rsid w:val="00207A15"/>
    <w:rsid w:val="00210CE3"/>
    <w:rsid w:val="00212B2D"/>
    <w:rsid w:val="002143B8"/>
    <w:rsid w:val="00214E11"/>
    <w:rsid w:val="0021511C"/>
    <w:rsid w:val="00222188"/>
    <w:rsid w:val="002229B0"/>
    <w:rsid w:val="00224BC7"/>
    <w:rsid w:val="0024080B"/>
    <w:rsid w:val="002427F4"/>
    <w:rsid w:val="0025664D"/>
    <w:rsid w:val="00262F5D"/>
    <w:rsid w:val="00270B1B"/>
    <w:rsid w:val="002774F2"/>
    <w:rsid w:val="00280D93"/>
    <w:rsid w:val="00294213"/>
    <w:rsid w:val="002A4C5F"/>
    <w:rsid w:val="002B1E39"/>
    <w:rsid w:val="002B42E5"/>
    <w:rsid w:val="002B5343"/>
    <w:rsid w:val="002C069C"/>
    <w:rsid w:val="002C10D9"/>
    <w:rsid w:val="002C5190"/>
    <w:rsid w:val="002D1E76"/>
    <w:rsid w:val="002E36E7"/>
    <w:rsid w:val="002E3E75"/>
    <w:rsid w:val="002F4B2F"/>
    <w:rsid w:val="002F606F"/>
    <w:rsid w:val="002F647D"/>
    <w:rsid w:val="00303FD8"/>
    <w:rsid w:val="003053CA"/>
    <w:rsid w:val="00310CA1"/>
    <w:rsid w:val="00320442"/>
    <w:rsid w:val="003319D1"/>
    <w:rsid w:val="00342D14"/>
    <w:rsid w:val="00345B06"/>
    <w:rsid w:val="003521D1"/>
    <w:rsid w:val="0036118B"/>
    <w:rsid w:val="003722CD"/>
    <w:rsid w:val="00377DED"/>
    <w:rsid w:val="00380447"/>
    <w:rsid w:val="00387C8A"/>
    <w:rsid w:val="003B7932"/>
    <w:rsid w:val="003C4768"/>
    <w:rsid w:val="003C6D88"/>
    <w:rsid w:val="003D3486"/>
    <w:rsid w:val="003D524D"/>
    <w:rsid w:val="003D7EF3"/>
    <w:rsid w:val="003E2694"/>
    <w:rsid w:val="003F3791"/>
    <w:rsid w:val="003F7686"/>
    <w:rsid w:val="00401539"/>
    <w:rsid w:val="004103D1"/>
    <w:rsid w:val="0041273C"/>
    <w:rsid w:val="00414C13"/>
    <w:rsid w:val="004156D8"/>
    <w:rsid w:val="004228B1"/>
    <w:rsid w:val="00431135"/>
    <w:rsid w:val="00431CA1"/>
    <w:rsid w:val="004322D1"/>
    <w:rsid w:val="004323FE"/>
    <w:rsid w:val="00436586"/>
    <w:rsid w:val="004375BF"/>
    <w:rsid w:val="00447016"/>
    <w:rsid w:val="00451CC3"/>
    <w:rsid w:val="00467D6A"/>
    <w:rsid w:val="00474BDB"/>
    <w:rsid w:val="004901D8"/>
    <w:rsid w:val="00491F62"/>
    <w:rsid w:val="00496AD5"/>
    <w:rsid w:val="004971C9"/>
    <w:rsid w:val="00497C87"/>
    <w:rsid w:val="004A57E2"/>
    <w:rsid w:val="004B12F4"/>
    <w:rsid w:val="004B1702"/>
    <w:rsid w:val="004D08DE"/>
    <w:rsid w:val="004D0EEB"/>
    <w:rsid w:val="004D1F3B"/>
    <w:rsid w:val="004D6960"/>
    <w:rsid w:val="004E21DC"/>
    <w:rsid w:val="004F1559"/>
    <w:rsid w:val="0050084C"/>
    <w:rsid w:val="005027E6"/>
    <w:rsid w:val="00515426"/>
    <w:rsid w:val="00521BFC"/>
    <w:rsid w:val="0052780A"/>
    <w:rsid w:val="00540315"/>
    <w:rsid w:val="00540609"/>
    <w:rsid w:val="00545BAC"/>
    <w:rsid w:val="00550971"/>
    <w:rsid w:val="00556342"/>
    <w:rsid w:val="00563BF7"/>
    <w:rsid w:val="005833E2"/>
    <w:rsid w:val="005A4236"/>
    <w:rsid w:val="005B01E9"/>
    <w:rsid w:val="005C618B"/>
    <w:rsid w:val="005D31C6"/>
    <w:rsid w:val="005E09C4"/>
    <w:rsid w:val="005E6FAE"/>
    <w:rsid w:val="005F58C2"/>
    <w:rsid w:val="005F58DE"/>
    <w:rsid w:val="005F7364"/>
    <w:rsid w:val="005F7445"/>
    <w:rsid w:val="005F7944"/>
    <w:rsid w:val="006043DF"/>
    <w:rsid w:val="006075B5"/>
    <w:rsid w:val="00607653"/>
    <w:rsid w:val="00610303"/>
    <w:rsid w:val="006145C8"/>
    <w:rsid w:val="00621F6A"/>
    <w:rsid w:val="006229C7"/>
    <w:rsid w:val="00623C04"/>
    <w:rsid w:val="0063089C"/>
    <w:rsid w:val="00635481"/>
    <w:rsid w:val="00637642"/>
    <w:rsid w:val="00647493"/>
    <w:rsid w:val="006505B2"/>
    <w:rsid w:val="0066162E"/>
    <w:rsid w:val="006714C6"/>
    <w:rsid w:val="00672A79"/>
    <w:rsid w:val="00673383"/>
    <w:rsid w:val="00683429"/>
    <w:rsid w:val="00685DDB"/>
    <w:rsid w:val="00687545"/>
    <w:rsid w:val="00690067"/>
    <w:rsid w:val="00692FE1"/>
    <w:rsid w:val="00694A3C"/>
    <w:rsid w:val="006A129C"/>
    <w:rsid w:val="006A61E1"/>
    <w:rsid w:val="006B2227"/>
    <w:rsid w:val="006B4495"/>
    <w:rsid w:val="006C2574"/>
    <w:rsid w:val="006D03D8"/>
    <w:rsid w:val="006D179E"/>
    <w:rsid w:val="006D49DF"/>
    <w:rsid w:val="006E0E81"/>
    <w:rsid w:val="006E35D0"/>
    <w:rsid w:val="006F0706"/>
    <w:rsid w:val="006F3CA8"/>
    <w:rsid w:val="007017D1"/>
    <w:rsid w:val="007156AF"/>
    <w:rsid w:val="00715D93"/>
    <w:rsid w:val="00724E04"/>
    <w:rsid w:val="00726306"/>
    <w:rsid w:val="00742745"/>
    <w:rsid w:val="00753242"/>
    <w:rsid w:val="007613C5"/>
    <w:rsid w:val="00762896"/>
    <w:rsid w:val="00762E29"/>
    <w:rsid w:val="00780EAB"/>
    <w:rsid w:val="00785D30"/>
    <w:rsid w:val="00791C53"/>
    <w:rsid w:val="007A13ED"/>
    <w:rsid w:val="007A6664"/>
    <w:rsid w:val="007B0672"/>
    <w:rsid w:val="007B7B2F"/>
    <w:rsid w:val="007C232F"/>
    <w:rsid w:val="007C54E4"/>
    <w:rsid w:val="007C7DC5"/>
    <w:rsid w:val="007D3CB0"/>
    <w:rsid w:val="007D52B7"/>
    <w:rsid w:val="007E7D16"/>
    <w:rsid w:val="0082306F"/>
    <w:rsid w:val="00823628"/>
    <w:rsid w:val="0084302D"/>
    <w:rsid w:val="00847EA7"/>
    <w:rsid w:val="00860755"/>
    <w:rsid w:val="008616C3"/>
    <w:rsid w:val="0086259F"/>
    <w:rsid w:val="00862792"/>
    <w:rsid w:val="008642AB"/>
    <w:rsid w:val="00866606"/>
    <w:rsid w:val="008668BC"/>
    <w:rsid w:val="008829A1"/>
    <w:rsid w:val="00886A13"/>
    <w:rsid w:val="0089143B"/>
    <w:rsid w:val="00892883"/>
    <w:rsid w:val="008961DA"/>
    <w:rsid w:val="008A2610"/>
    <w:rsid w:val="008A4462"/>
    <w:rsid w:val="008A4E8E"/>
    <w:rsid w:val="008B04B4"/>
    <w:rsid w:val="008B21FF"/>
    <w:rsid w:val="008B3E91"/>
    <w:rsid w:val="008B472C"/>
    <w:rsid w:val="008C0064"/>
    <w:rsid w:val="00901FEF"/>
    <w:rsid w:val="0090468B"/>
    <w:rsid w:val="0090729C"/>
    <w:rsid w:val="0091573A"/>
    <w:rsid w:val="00926F31"/>
    <w:rsid w:val="009406A9"/>
    <w:rsid w:val="009413C7"/>
    <w:rsid w:val="0094762A"/>
    <w:rsid w:val="009507C1"/>
    <w:rsid w:val="009524C5"/>
    <w:rsid w:val="00957D1B"/>
    <w:rsid w:val="00964343"/>
    <w:rsid w:val="009648B9"/>
    <w:rsid w:val="00965C13"/>
    <w:rsid w:val="00967459"/>
    <w:rsid w:val="00970FA0"/>
    <w:rsid w:val="00974A9C"/>
    <w:rsid w:val="009759E7"/>
    <w:rsid w:val="00987F3E"/>
    <w:rsid w:val="009966D8"/>
    <w:rsid w:val="009A1F82"/>
    <w:rsid w:val="009B3DAA"/>
    <w:rsid w:val="009C3304"/>
    <w:rsid w:val="009C3949"/>
    <w:rsid w:val="009D063D"/>
    <w:rsid w:val="009D20A6"/>
    <w:rsid w:val="009D3E57"/>
    <w:rsid w:val="009E742F"/>
    <w:rsid w:val="009F1381"/>
    <w:rsid w:val="009F5881"/>
    <w:rsid w:val="009F7CB5"/>
    <w:rsid w:val="00A10E28"/>
    <w:rsid w:val="00A125F1"/>
    <w:rsid w:val="00A13C08"/>
    <w:rsid w:val="00A34BC4"/>
    <w:rsid w:val="00A507AC"/>
    <w:rsid w:val="00A560A0"/>
    <w:rsid w:val="00A664B3"/>
    <w:rsid w:val="00A73B2E"/>
    <w:rsid w:val="00A874BA"/>
    <w:rsid w:val="00A910A6"/>
    <w:rsid w:val="00A92AB5"/>
    <w:rsid w:val="00A9731F"/>
    <w:rsid w:val="00AA411C"/>
    <w:rsid w:val="00AB493E"/>
    <w:rsid w:val="00AB7B1B"/>
    <w:rsid w:val="00AC3DEA"/>
    <w:rsid w:val="00AC5EE5"/>
    <w:rsid w:val="00AD670B"/>
    <w:rsid w:val="00AE57EF"/>
    <w:rsid w:val="00B05936"/>
    <w:rsid w:val="00B15A0B"/>
    <w:rsid w:val="00B165CE"/>
    <w:rsid w:val="00B4020E"/>
    <w:rsid w:val="00B51DAF"/>
    <w:rsid w:val="00B5446B"/>
    <w:rsid w:val="00B652FB"/>
    <w:rsid w:val="00B73F65"/>
    <w:rsid w:val="00B82F94"/>
    <w:rsid w:val="00B9514C"/>
    <w:rsid w:val="00BA174C"/>
    <w:rsid w:val="00BA2445"/>
    <w:rsid w:val="00BC5E81"/>
    <w:rsid w:val="00BE051E"/>
    <w:rsid w:val="00BE436E"/>
    <w:rsid w:val="00BF3328"/>
    <w:rsid w:val="00BF663F"/>
    <w:rsid w:val="00C077DD"/>
    <w:rsid w:val="00C12BFA"/>
    <w:rsid w:val="00C16055"/>
    <w:rsid w:val="00C20B78"/>
    <w:rsid w:val="00C2267B"/>
    <w:rsid w:val="00C241A2"/>
    <w:rsid w:val="00C2528F"/>
    <w:rsid w:val="00C327DC"/>
    <w:rsid w:val="00C372A8"/>
    <w:rsid w:val="00C50299"/>
    <w:rsid w:val="00C617B3"/>
    <w:rsid w:val="00C717B8"/>
    <w:rsid w:val="00C73990"/>
    <w:rsid w:val="00C758AA"/>
    <w:rsid w:val="00C75BC6"/>
    <w:rsid w:val="00C77C64"/>
    <w:rsid w:val="00C80E62"/>
    <w:rsid w:val="00C92654"/>
    <w:rsid w:val="00C94311"/>
    <w:rsid w:val="00C9620D"/>
    <w:rsid w:val="00CA0B7E"/>
    <w:rsid w:val="00CA0BEC"/>
    <w:rsid w:val="00CA3700"/>
    <w:rsid w:val="00CC2785"/>
    <w:rsid w:val="00D03896"/>
    <w:rsid w:val="00D10498"/>
    <w:rsid w:val="00D13FFB"/>
    <w:rsid w:val="00D15081"/>
    <w:rsid w:val="00D27CC8"/>
    <w:rsid w:val="00D33BD9"/>
    <w:rsid w:val="00D50956"/>
    <w:rsid w:val="00D646F9"/>
    <w:rsid w:val="00D73393"/>
    <w:rsid w:val="00D73CF7"/>
    <w:rsid w:val="00D762B7"/>
    <w:rsid w:val="00D9240E"/>
    <w:rsid w:val="00D945AE"/>
    <w:rsid w:val="00DA0020"/>
    <w:rsid w:val="00DB1A9E"/>
    <w:rsid w:val="00DB2AA3"/>
    <w:rsid w:val="00DC076C"/>
    <w:rsid w:val="00DC2A28"/>
    <w:rsid w:val="00DD4972"/>
    <w:rsid w:val="00DD6775"/>
    <w:rsid w:val="00DE2894"/>
    <w:rsid w:val="00DE55C1"/>
    <w:rsid w:val="00DF4BC7"/>
    <w:rsid w:val="00DF70EE"/>
    <w:rsid w:val="00E01504"/>
    <w:rsid w:val="00E06A72"/>
    <w:rsid w:val="00E1299D"/>
    <w:rsid w:val="00E2189F"/>
    <w:rsid w:val="00E23877"/>
    <w:rsid w:val="00E27661"/>
    <w:rsid w:val="00E30B15"/>
    <w:rsid w:val="00E42619"/>
    <w:rsid w:val="00E569AA"/>
    <w:rsid w:val="00E664BC"/>
    <w:rsid w:val="00E66529"/>
    <w:rsid w:val="00E80A62"/>
    <w:rsid w:val="00E858FC"/>
    <w:rsid w:val="00EB50D3"/>
    <w:rsid w:val="00EC19B3"/>
    <w:rsid w:val="00EC1AA4"/>
    <w:rsid w:val="00EC71A9"/>
    <w:rsid w:val="00ED4338"/>
    <w:rsid w:val="00EE5D4B"/>
    <w:rsid w:val="00F02CCD"/>
    <w:rsid w:val="00F129CF"/>
    <w:rsid w:val="00F152BB"/>
    <w:rsid w:val="00F2327D"/>
    <w:rsid w:val="00F25CCF"/>
    <w:rsid w:val="00F2717E"/>
    <w:rsid w:val="00F307E2"/>
    <w:rsid w:val="00F353EE"/>
    <w:rsid w:val="00F404FC"/>
    <w:rsid w:val="00F4296C"/>
    <w:rsid w:val="00F45010"/>
    <w:rsid w:val="00F45348"/>
    <w:rsid w:val="00F656FD"/>
    <w:rsid w:val="00F72712"/>
    <w:rsid w:val="00F75610"/>
    <w:rsid w:val="00F83C96"/>
    <w:rsid w:val="00F86228"/>
    <w:rsid w:val="00F90C6C"/>
    <w:rsid w:val="00F90E29"/>
    <w:rsid w:val="00F96AF3"/>
    <w:rsid w:val="00F97779"/>
    <w:rsid w:val="00FA164F"/>
    <w:rsid w:val="00FB3A0A"/>
    <w:rsid w:val="00FB6FAF"/>
    <w:rsid w:val="00FB7C0B"/>
    <w:rsid w:val="00FB7E70"/>
    <w:rsid w:val="00FC2345"/>
    <w:rsid w:val="00FC26D2"/>
    <w:rsid w:val="00FC6F60"/>
    <w:rsid w:val="00FD095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7"/>
        <o:r id="V:Rule13" type="connector" idref="#_x0000_s1040"/>
        <o:r id="V:Rule14" type="connector" idref="#_x0000_s1044"/>
        <o:r id="V:Rule15" type="connector" idref="#_x0000_s1058"/>
        <o:r id="V:Rule16" type="connector" idref="#_x0000_s1045"/>
        <o:r id="V:Rule17" type="connector" idref="#_x0000_s1043"/>
        <o:r id="V:Rule18" type="connector" idref="#_x0000_s1046"/>
        <o:r id="V:Rule19" type="connector" idref="#_x0000_s1042"/>
        <o:r id="V:Rule20" type="connector" idref="#_x0000_s1039"/>
        <o:r id="V:Rule21" type="connector" idref="#_x0000_s1048"/>
        <o:r id="V:Rule22"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 w:type="character" w:styleId="CommentReference">
    <w:name w:val="annotation reference"/>
    <w:basedOn w:val="DefaultParagraphFont"/>
    <w:uiPriority w:val="99"/>
    <w:semiHidden/>
    <w:unhideWhenUsed/>
    <w:rsid w:val="000074FB"/>
    <w:rPr>
      <w:sz w:val="16"/>
      <w:szCs w:val="16"/>
    </w:rPr>
  </w:style>
  <w:style w:type="paragraph" w:styleId="CommentText">
    <w:name w:val="annotation text"/>
    <w:basedOn w:val="Normal"/>
    <w:link w:val="CommentTextChar"/>
    <w:uiPriority w:val="99"/>
    <w:semiHidden/>
    <w:unhideWhenUsed/>
    <w:rsid w:val="000074FB"/>
    <w:pPr>
      <w:spacing w:line="240" w:lineRule="auto"/>
    </w:pPr>
    <w:rPr>
      <w:sz w:val="20"/>
      <w:szCs w:val="20"/>
    </w:rPr>
  </w:style>
  <w:style w:type="character" w:customStyle="1" w:styleId="CommentTextChar">
    <w:name w:val="Comment Text Char"/>
    <w:basedOn w:val="DefaultParagraphFont"/>
    <w:link w:val="CommentText"/>
    <w:uiPriority w:val="99"/>
    <w:semiHidden/>
    <w:rsid w:val="000074F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074FB"/>
    <w:rPr>
      <w:b/>
      <w:bCs/>
    </w:rPr>
  </w:style>
  <w:style w:type="character" w:customStyle="1" w:styleId="CommentSubjectChar">
    <w:name w:val="Comment Subject Char"/>
    <w:basedOn w:val="CommentTextChar"/>
    <w:link w:val="CommentSubject"/>
    <w:uiPriority w:val="99"/>
    <w:semiHidden/>
    <w:rsid w:val="000074FB"/>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129B5"/>
    <w:rsid w:val="00031879"/>
    <w:rsid w:val="00282F70"/>
    <w:rsid w:val="002A7A20"/>
    <w:rsid w:val="002C46EF"/>
    <w:rsid w:val="00401C66"/>
    <w:rsid w:val="00462417"/>
    <w:rsid w:val="00516C8B"/>
    <w:rsid w:val="00535DFA"/>
    <w:rsid w:val="0053637E"/>
    <w:rsid w:val="00567979"/>
    <w:rsid w:val="005A0F83"/>
    <w:rsid w:val="005B7907"/>
    <w:rsid w:val="00645EBF"/>
    <w:rsid w:val="00691D82"/>
    <w:rsid w:val="006D37C5"/>
    <w:rsid w:val="00752FD9"/>
    <w:rsid w:val="007A756E"/>
    <w:rsid w:val="008777D8"/>
    <w:rsid w:val="008960EC"/>
    <w:rsid w:val="008B5E4D"/>
    <w:rsid w:val="009D0A55"/>
    <w:rsid w:val="00A11CAF"/>
    <w:rsid w:val="00A14382"/>
    <w:rsid w:val="00A44032"/>
    <w:rsid w:val="00A93125"/>
    <w:rsid w:val="00B37502"/>
    <w:rsid w:val="00BE1848"/>
    <w:rsid w:val="00C844BE"/>
    <w:rsid w:val="00CE1085"/>
    <w:rsid w:val="00D20F7A"/>
    <w:rsid w:val="00E62584"/>
    <w:rsid w:val="00EC3CED"/>
    <w:rsid w:val="00EC63D3"/>
    <w:rsid w:val="00F036A0"/>
    <w:rsid w:val="00FF63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B5ECB4BA-37AD-4788-BCCD-84F237440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48BB073-D017-46EE-A1DF-BF5CE4729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699</Words>
  <Characters>3989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4679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7</cp:revision>
  <dcterms:created xsi:type="dcterms:W3CDTF">2011-12-14T15:57:00Z</dcterms:created>
  <dcterms:modified xsi:type="dcterms:W3CDTF">2012-02-23T14:37:00Z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